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5D_206/2019 vom 8. November 2019</w:t>
      </w:r>
    </w:p>
    <w:p>
      <w:r>
        <w:t>Bundesgericht, 2019-11-08, DE</w:t>
      </w:r>
    </w:p>
    <w:p>
      <w:r>
        <w:rPr>
          <w:b/>
        </w:rPr>
        <w:t xml:space="preserve">Quelle: </w:t>
      </w:r>
      <w:r>
        <w:t>https://mcp.opencaselaw.ch/entscheid/bger_5D_206_2019</w:t>
      </w:r>
    </w:p>
    <w:p>
      <w:r>
        <w:t>FR: TF 5D_206/2019 du 8 novembre 2019</w:t>
      </w:r>
    </w:p>
    <w:p>
      <w:r>
        <w:t>IT: TF 5D_206/2019 del 8 novembre 2019</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Auseinandersetzung mit dessen Begründung erfordert ( BGE 140 III 115 E. 2 S. 116).</w:t>
      </w:r>
    </w:p>
    <w:p>
      <w:r>
        <w:rPr>
          <w:b/>
        </w:rPr>
        <w:t>E. 2</w:t>
      </w:r>
    </w:p>
    <w:p>
      <w:r>
        <w:t>Eine solche Auseinandersetzung findet nicht statt. Der Beschwerdeführer beruft sich auf seine Mittellosigkeit. Die Begründung des angefochtenen Entscheides ging indes nicht dahin, dass der Beschwerdeführer über die nötigen Mittel verfüge, sondern dass das Rechtsöffnungsverfahren mangels eines tauglichen Rechtsöffnungstitels aussichtslos sei. Diesbezüglich ist keine Rechtsverletzung darzutun mit der weiteren Behauptung, die Nebenkosten von Fr. 141.30 stünden noch aus und der Betrag sei geschuldet, denn Kernerwägung war, dass es für die Rechtsöffnung einer schriftlichen Schuldanerkennung durch den Schuldner bedarf (vgl. Art. 82 Abs. 1 SchKG ).</w:t>
      </w:r>
    </w:p>
    <w:p>
      <w:r>
        <w:rPr>
          <w:b/>
        </w:rPr>
        <w:t>E. 3</w:t>
      </w:r>
    </w:p>
    <w:p>
      <w:r>
        <w:t>Nach dem Gesagten erweist sich die Beschwerde als offensichtlich nicht hinreichend begründet, weshalb auf sie nicht eingetreten werden kann und im vereinfachten Verfahren nach Art. 108 Abs. 1 lit. b BGG zu entscheiden ist.</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