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5D_202/2017 vom 18. Oktober 2017</w:t>
      </w:r>
    </w:p>
    <w:p>
      <w:r>
        <w:t>Bundesgericht, 2017-10-18, FR</w:t>
      </w:r>
    </w:p>
    <w:p>
      <w:r>
        <w:rPr>
          <w:b/>
        </w:rPr>
        <w:t xml:space="preserve">Quelle: </w:t>
      </w:r>
      <w:r>
        <w:t>https://mcp.opencaselaw.ch/entscheid/bger_5D_202_2017</w:t>
      </w:r>
    </w:p>
    <w:p>
      <w:r>
        <w:t>FR: TF 5D_202/2017 du 18 octobre 2017</w:t>
      </w:r>
    </w:p>
    <w:p>
      <w:r>
        <w:t>IT: TF 5D_202/2017 del 18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</w:t>
      </w:r>
    </w:p>
    <w:p>
      <w:r>
        <w:t>er septembre 2017, la Cour des poursuites et faillites du Tribunal cantonal du canton de Vaud a déclaré irrecevable, faute de respecter le délai de demande de motivation ( art. 239 al. 2 CPC ) et l'exigence de motivation ( art. 321 CPC ), le recours déposé le 21 juillet 2017 par A.________ à l'encontre du prononcé de mainlevée définitive de l'opposition rendu le 16 mai 2017 par le Juge de paix du district de l'Ouest lausannois.</w:t>
      </w:r>
    </w:p>
    <w:p>
      <w:r>
        <w:rPr>
          <w:b/>
        </w:rPr>
        <w:t>E. 2</w:t>
      </w:r>
    </w:p>
    <w:p>
      <w:r>
        <w:t>Par acte remis à la Poste suisse le 12 octobre 2017, A.________ exerce un recours au Tribunal fédéral.</w:t>
      </w:r>
    </w:p>
    <w:p>
      <w:r>
        <w:t>Eu égard à la valeur litigieuse en cause (1'600 fr.), le présent recours est traité comme un recours constitutionnel subsidiaire ( art. 113 ss LTF ).</w:t>
      </w:r>
    </w:p>
    <w:p>
      <w:r>
        <w:t>En contradiction avec les faits retenus dans l'arrêt attaqué, le recourant discute les délais, soutenant avoir remis ses écritures à la Poste suisse avant l'échéance des délais légaux. Il discute également d'autres procédures, notamment pénales. Ce faisant, le recourant ne s'en prend pas à la motivation de l'autorité cantonale, spécialement celle consacrée à l'irrecevabilité du recours,</w:t>
      </w:r>
    </w:p>
    <w:p>
      <w:r>
        <w:t>a fortiori il ne soulève aucun grief tendant à démontrer que le raisonnement de la décision cantonale querellée serait contraire à la Constitution ou à l'un de ses droits fondamentaux. De surcroît, l'acte ne contient aucune conclusion formelle ( art. 42 al. 1 LTF ). Il s'ensuit que le recours ne satisfait nullement aux exigences minimales de motivation posées par les art. 106 al. 2 et 116 LTF , par renvoi de l' art. 117 LTF .</w:t>
      </w:r>
    </w:p>
    <w:p>
      <w:r>
        <w:t>Par surabondance, le recours présente une fois de plus un caractère abusif au sens de l' art. 42 al. 7 LTF , de sorte qu'il doit également être déclaré irrecevable pour ce motif.</w:t>
      </w:r>
    </w:p>
    <w:p>
      <w:r>
        <w:t>En définitive, le présent recours doit être déclaré irrecevable selon la procédure simplifiée de l'art. 108 al. 1 let. a à c LTF, par renvoi de l' art. 117 LTF .</w:t>
      </w:r>
    </w:p>
    <w:p>
      <w:r>
        <w:rPr>
          <w:b/>
        </w:rPr>
        <w:t>E. 3</w:t>
      </w:r>
    </w:p>
    <w:p>
      <w:r>
        <w:t>Les frais judiciaires, arrêtés à 1'000 fr., sont mis à la charge du recourant ( art. 66 al. 1 LTF ).</w:t>
      </w:r>
    </w:p>
    <w:p>
      <w:r>
        <w:t>Toute nouvelle écriture du même genre dans cette affaire, singulièrement une demande de révision abusive, sera classée sans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