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5D_201/2023 vom 2. November 2023</w:t>
      </w:r>
    </w:p>
    <w:p>
      <w:r>
        <w:t>Bundesgericht, 2023-11-02, DE</w:t>
      </w:r>
    </w:p>
    <w:p>
      <w:r>
        <w:rPr>
          <w:b/>
        </w:rPr>
        <w:t xml:space="preserve">Quelle: </w:t>
      </w:r>
      <w:r>
        <w:t>https://mcp.opencaselaw.ch/entscheid/bger_5D_201_2023</w:t>
      </w:r>
    </w:p>
    <w:p>
      <w:r>
        <w:t>FR: TF 5D_201/2023 du 2 novembre 2023</w:t>
      </w:r>
    </w:p>
    <w:p>
      <w:r>
        <w:t>IT: TF 5D_201/2023 del 2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der kantonal letztinstanzliche Rechtsöffnungsentscheid mit einem Streitwert von weniger als Fr. 30'000.--. Damit steht die Beschwerde in Zivilsachen nicht offen ( Art. 72 Abs. 2 lit. a, Art. 74 Abs. 1 lit. b und Art. 75 Abs. 1 BGG ). Vielmehr ist die subsidiäre Verfassungsbeschwerde gegeben ( Art. 113 BGG ). Mit ihr kann einzig die Verletzung verfassungsmässiger Rechte gerügt werden ( Art. 116 BGG ), wofür das strenge Rügeprinzip gilt (Art. 106 Abs. 2 i.V.m. Art. 117 BGG ).</w:t>
      </w:r>
    </w:p>
    <w:p>
      <w:r>
        <w:rPr>
          <w:b/>
        </w:rPr>
        <w:t>E. 2</w:t>
      </w:r>
    </w:p>
    <w:p>
      <w:r>
        <w:t>Die Beschwerdeführerin macht keine Verfassungsverletzungen geltend, sondern beschränkt sich auf allgemeine polemische Ausführungen (sie habe sich aus diversen Gründen geweigert, die Steuern zu bezahlen; die inkompetente und amtsmissbrauchende Präsidentin des Kantonsgerichts komme weder ihrem Eid noch ihrem Job nach und mache sich keine Gedanken zu den Gesetzen).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im vereinfachten Verfahren nach Art. 108 Abs. 1 lit. b BGG nicht einzutreten ist.</w:t>
      </w:r>
    </w:p>
    <w:p>
      <w:r>
        <w:rPr>
          <w:b/>
        </w:rPr>
        <w:t>E. 4</w:t>
      </w:r>
    </w:p>
    <w:p>
      <w:r>
        <w:t>Die Gerichtskosten von Fr. 500.-- sind der Beschwerdeführerin aufzuerlegen.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