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5D_19/2025 vom 28. Mai 2025</w:t>
      </w:r>
    </w:p>
    <w:p>
      <w:r>
        <w:t>Bundesgericht, 2025-05-28, DE</w:t>
      </w:r>
    </w:p>
    <w:p>
      <w:r>
        <w:rPr>
          <w:b/>
        </w:rPr>
        <w:t xml:space="preserve">Quelle: </w:t>
      </w:r>
      <w:r>
        <w:t>https://mcp.opencaselaw.ch/entscheid/bger_5D_19_2025</w:t>
      </w:r>
    </w:p>
    <w:p>
      <w:r>
        <w:t>FR: TF 5D_19/2025 du 28 mai 2025</w:t>
      </w:r>
    </w:p>
    <w:p>
      <w:r>
        <w:t>IT: TF 5D_19/2025 del 28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Beschwerdegegner betreibt die Beschwerdeführerin im Betreibungsverfahren Nr. xxx des Betreibungsamtes Zürich 7.</w:t>
      </w:r>
    </w:p>
    <w:p>
      <w:r>
        <w:t>Mit Eingabe vom 26. Oktober 2023 erhob die Beschwerdeführerin beim Bezirksgericht Zürich eine negative Feststellungsklage gemäss Art. 85a SchKG . Das Bezirksgericht wies die Klage mit Urteil vom 3. April 2024 ab.</w:t>
      </w:r>
    </w:p>
    <w:p>
      <w:r>
        <w:t>Dagegen erhob die Beschwerdeführerin am 10. Mai 2024 Beschwerde. Mit Entscheid vom 10. Februar 2025 wies das Obergericht des Kantons Zürich die Beschwerde ab, soweit es darauf eintrat.</w:t>
      </w:r>
    </w:p>
    <w:p>
      <w:r>
        <w:t>Dagegen hat die Beschwerdeführerin am 26. März 2025 Beschwerde an das Bundesgericht erhoben. Das Bundesgericht hat die Akten beigezogen.</w:t>
      </w:r>
    </w:p>
    <w:p>
      <w:r>
        <w:rPr>
          <w:b/>
        </w:rPr>
        <w:t>E. 2</w:t>
      </w:r>
    </w:p>
    <w:p>
      <w:r>
        <w:t>Aufgrund des unter Fr. 30'000.-- liegenden Streitwerts ( Art. 74 Abs. 1 lit. b BGG ) und mangels Vorliegens einer Rechtsfrage von grundsätzlicher Bedeutung ( Art. 74 Abs. 2 lit. a BGG ) ist die Eingabe als subsidiäre Verfassungsbeschwerde zu behandeln ( Art. 113 ff. BGG ). Gerügt werden kann nur die Verletzung verfassungsmässiger Rechte ( Art. 116 BGG ). Verfassungsrügen müssen gemäss dem strengen Rügeprinzip von Art. 117 i.V.m. Art. 106 Abs. 2 BGG in der Beschwerde präzise vorgebracht und begründet werden. Dies bedeutet, dass anhand der Erwägungen des angefochtenen Entscheids klar und detailliert darzulegen ist, inwiefern verfassungsmässige Rechte verletzt worden sein sollen ( BGE 133 II 396 E. 3.1; 142 III 364 E. 2.4).</w:t>
      </w:r>
    </w:p>
    <w:p>
      <w:r>
        <w:rPr>
          <w:b/>
        </w:rPr>
        <w:t>E. 3</w:t>
      </w:r>
    </w:p>
    <w:p>
      <w:r>
        <w:t>Die Beschwerdeführerin genügt den Rügeanforderungen nicht, soweit sie Teile ihrer kantonalen Beschwerde wörtlich wiederholt oder Textbausteine aus Literatur und Rechtsprechung aneinanderreiht. Die Verletzung einfachen Gesetzesrechts (z.B. Art. 238 lit. c ZPO ) kann mit Verfassungsbeschwerde nicht gerügt werden. Den Rügeanforderungen genügt es auch nicht, ohne detaillierte Auseinandersetzung mit dem angefochtenen Entscheid abstrakt die Verletzung von Art. 5, Art. 8, Art. 9 und Art. 29 BV sowie von Art. 6 i.V.m. Art. 14 EMRK und Art. 17 EMRK geltend zu machen oder dem Obergericht vorzuwerfen, haltlose und unbelegte Behauptungen aufgestellt zu haben.</w:t>
      </w:r>
    </w:p>
    <w:p>
      <w:r>
        <w:t>Die Beschwerde enthält offensichtlich keine hinreichende Begründung. Der Abteilungspräsident tritt auf sie im vereinfachten Verfahren nicht ein ( Art. 108 Abs. 1 lit. b BGG ).</w:t>
      </w:r>
    </w:p>
    <w:p>
      <w:r>
        <w:rPr>
          <w:b/>
        </w:rPr>
        <w:t>E. 4</w:t>
      </w:r>
    </w:p>
    <w:p>
      <w:r>
        <w:t>Bei diesem Ausgang des Verfahrens trägt die Beschwerdeführerin die Gerichtskosten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