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199/2019 vom 18. Oktober 2019</w:t>
      </w:r>
    </w:p>
    <w:p>
      <w:r>
        <w:t>Bundesgericht, 2019-10-18, FR</w:t>
      </w:r>
    </w:p>
    <w:p>
      <w:r>
        <w:rPr>
          <w:b/>
        </w:rPr>
        <w:t xml:space="preserve">Quelle: </w:t>
      </w:r>
      <w:r>
        <w:t>https://mcp.opencaselaw.ch/entscheid/bger_5D_199_2019</w:t>
      </w:r>
    </w:p>
    <w:p>
      <w:r>
        <w:t>FR: TF 5D 199/2019 du 18 octobre 2019</w:t>
      </w:r>
    </w:p>
    <w:p>
      <w:r>
        <w:t>IT: TF 5D 199/2019 del 18 ottobre 2019</w:t>
      </w:r>
    </w:p>
    <w:p>
      <w:pPr>
        <w:pStyle w:val="Heading2"/>
      </w:pPr>
      <w:r>
        <w:t>Regeste</w:t>
      </w:r>
    </w:p>
    <w:p>
      <w:r>
        <w:t>recevabilité d'un recours (mainlevée provisoire de l'opposition)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17 mai 2019 - rendu sous forme de dispositif -, le Juge suppléant du district de Sierre a provisoirement levé, à hauteur de 3'024 fr. 15 en capital, l'opposition formée par A.________ au commandement de payer que lui a fait notifier B.________ AG ( poursuite n° xxxxxx de l'Office des poursuites du district de Sierre ). Ce magistrat a rejeté le 19 juin 2019 une demande du poursuivi tendant à une " restitution de délai ". Statuant le 4 septembre 2019, la Chambre civile du Tribunal cantonal du Valais (Juge unique) a déclaré irrecevable le recours du poursuivi contre cette dernière décision.</w:t>
      </w:r>
    </w:p>
    <w:p>
      <w:r>
        <w:rPr>
          <w:b/>
        </w:rPr>
        <w:t>E. 2</w:t>
      </w:r>
    </w:p>
    <w:p>
      <w:r>
        <w:t>Par écriture mise à la poste le 14 octobre 2019, le poursuivi exerce un recours constitutionnel subsidiaire au Tribunal fédéral à l'encontre de la décision cantonale. 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ouvert en l'occurrence ( art. 113 LTF ). Il est superflu de vérifier les autres conditions de recevabilité, le procédé étant clairement voué à l'échec.</w:t>
      </w:r>
    </w:p>
    <w:p>
      <w:r>
        <w:rPr>
          <w:b/>
        </w:rPr>
        <w:t>E. 4.1</w:t>
      </w:r>
    </w:p>
    <w:p>
      <w:r>
        <w:t>En l'espèce, l'autorité précédente a déclaré le recours irrecevable pour cause de tardiveté. La décision entreprise - dont le destinataire a été avisé le 21 juin 2019 - a été notifiée le 28 juin 2019 (expiration du délai de garde), de sorte que le dépôt du recours à un office de poste le 29 juillet suivant est intervenu tardivement. La communication sous pli simple de cette décision le 17 juillet 2019 à la suite d'une " demande de motivation " n'a pas fait courir de nouveau délai. Le juge cantonal a ajouté que, même recevable, le recours eût été rejeté, pour des motifs qu'il n'y a pas lieu de développer ( cf . infra , consid. 4.2).</w:t>
      </w:r>
    </w:p>
    <w:p>
      <w:r>
        <w:rPr>
          <w:b/>
        </w:rPr>
        <w:t>E. 4.2</w:t>
      </w:r>
    </w:p>
    <w:p>
      <w:r>
        <w:t>Le recourant n'expose pas en quoi le motif principal de la décision attaquée, tiré de l'irrecevabilité du recours cantonal, violerait ses droits constitutionnels ( art. 106 al. 2 et 117 LTF ; ATF 145 I 121 consid. 2.1 et la jurisprudence citée); en particulier, il ne démontre pas que le juge cantonal aurait établi les faits pertinents d'une manière manifestement inexacte ( art. 118 al. 2 LTF ; ATF 133 III 393 consid. 7.1) ou appliqué arbitrairement l' art. 138 al. 3 let. a CPC ( art. 9 Cst. et 116 LTF; cf . sur cette notion: ATF 144 I 318 consid. 5.4). Faute de critique motivée sur ce point, le présent recours doit être écarté d'emblée ( ATF 142 III 364 consid. 2.4); cela étant, il devient superflu de connaître du grief dirigé à l'encontre du motif subsidiaire ( ATF 135 III 608 consid. 4.6).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du recourant ( art. 66 al. 1 LTF ). Le présent arrêt rend sans objet la requête d'effet suspensif.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