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199/2017 vom 16. Oktober 2017</w:t>
      </w:r>
    </w:p>
    <w:p>
      <w:r>
        <w:t>Bundesgericht, 2017-10-16, DE</w:t>
      </w:r>
    </w:p>
    <w:p>
      <w:r>
        <w:rPr>
          <w:b/>
        </w:rPr>
        <w:t xml:space="preserve">Quelle: </w:t>
      </w:r>
      <w:r>
        <w:t>https://mcp.opencaselaw.ch/entscheid/bger_5D_199_2017</w:t>
      </w:r>
    </w:p>
    <w:p>
      <w:r>
        <w:t>FR: TF 5D 199/2017 du 16 octobre 2017</w:t>
      </w:r>
    </w:p>
    <w:p>
      <w:r>
        <w:t>IT: TF 5D 199/2017 del 16 ottobre 2017</w:t>
      </w:r>
    </w:p>
    <w:p>
      <w:pPr>
        <w:pStyle w:val="Heading2"/>
      </w:pPr>
      <w:r>
        <w:t>Regeste</w:t>
      </w:r>
    </w:p>
    <w:p>
      <w:r>
        <w:t>Definitive Rechtsöffnung | Schuldbetreibungs- und Konkursrecht</w:t>
      </w:r>
    </w:p>
    <w:p>
      <w:pPr>
        <w:pStyle w:val="Heading2"/>
      </w:pPr>
      <w:r>
        <w:t>Erwägungen</w:t>
      </w:r>
    </w:p>
    <w:p>
      <w:r>
        <w:rPr>
          <w:b/>
        </w:rPr>
        <w:t>E. 1</w:t>
      </w:r>
    </w:p>
    <w:p>
      <w:r>
        <w:t>Mit Verfügung vom 25. April 2017 erteilte das Kantonsgericht Schaffhausen dem Beschwerdegegner gegenüber dem Beschwerdeführer in der Betreibung Nr. xxx des Betreibungsamts Schaffhausen definitive Rechtsöffnung für Fr. 2'000.-- sowie Kosten und Entschädigung. Als Rechtsöffnungstitel wurde der rechtskräftige Strafbefehl der Staatsanwaltschaft des Kantons Schaffhausen, Allgemeine Abteilung, Nr. yyy vom 8. Februar 2016 samt zugehöriger Rechnung vorgelegt. Gegen die Rechtsöffnungsverfügung erhob der Beschwerdeführer am 3. Mai 2017 Beschwerde an das Obergericht des Kantons Schaffhausen. Mit Verfügung vom 12. September 2017 trat das Obergericht auf die Beschwerde mangels genügender Begründung nicht ein. Am 11. Oktober 2017 (Postaufgabe) hat der Beschwerdeführer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hat erwogen, der Beschwerdeführer habe sich mit der Begründung des erstinstanzlichen Entscheids nicht auseinandergesetzt. Stattdessen habe er im Wesentlichen auf seine Invalidenrente, seine gesundheitlichen Probleme und seine Schwierigkeiten bei der Umsetzung und Bezahlung der Datenlöschung mit der Kriminalpolizei Schaffhausen hingewiesen. Diese Vorbringen würden in der Sache nicht helfen, da im Verfahren auf definitive Rechtsöffnung nur noch Tilgung, Stundung oder Verjährung eingewendet werden könne ( Art. 81 Abs. 1 SchKG ). Vor Bundesgericht beanstandet der Beschwerdeführer, dass das Obergericht seine kantonale Beschwerde in der Sache nicht behandelt hat. Er legt aber nicht dar, inwiefern durch den Nichteintretensentscheid verfassungsmässige Rechte verletzt worden sein sollen. Er macht geltend, dass der als Rechtsöffnungstitel vorgelegte Strafbefehl von der Kriminalpolizei nicht umgesetzt werde und er deshalb keinen Grund sehe, die Staatsgebühr von Fr. 2'000.-- zu bezahlen. Er setzt sich aber nicht mit der Erwägung des Obergerichts auseinander, dass solches im Rechtsöffnungsverfahren nicht eingewendet werden könne. Schliesslich äussert er sich zu den Kosten für die Löschung von Festplatten. Soweit ersichtlich stehen diese Kosten, die ihm im Strafbefehl auferlegt worden sind, in keinem Zusammenhang mit der nunmehr in Betreibung gesetzten Staatsgebühr für den Strafbefehl. Ohnehin legt er auch insoweit nicht dar, welche verfassungsmässigen Rechte verletzt worden sein sollen. Die Verfassungsbeschwerde erweist sich somit als offensichtlich ungenügend begründet. Auf sie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 Er verweist auf seine Invalidenrente und seine beschränkten finanziellen Möglichkeiten zur Führung von Gerichtsverfahren. Er stellt aber kein Gesuch um unentgeltliche Rechtspflege. Ein solches wäre infolge Aussichtslosigkeit der Beschwerde ohnehin abzuweisen gewesen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