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5D_197/2021 vom 2. November 2021</w:t>
      </w:r>
    </w:p>
    <w:p>
      <w:r>
        <w:t>Bundesgericht, 2021-11-02, DE</w:t>
      </w:r>
    </w:p>
    <w:p>
      <w:r>
        <w:rPr>
          <w:b/>
        </w:rPr>
        <w:t xml:space="preserve">Quelle: </w:t>
      </w:r>
      <w:r>
        <w:t>https://mcp.opencaselaw.ch/entscheid/bger_5D_197_2021</w:t>
      </w:r>
    </w:p>
    <w:p>
      <w:r>
        <w:t>FR: TF 5D_197/2021 du 2 novembre 2021</w:t>
      </w:r>
    </w:p>
    <w:p>
      <w:r>
        <w:t>IT: TF 5D_197/2021 del 2 novembre 2021</w:t>
      </w:r>
    </w:p>
    <w:p>
      <w:pPr>
        <w:pStyle w:val="Heading2"/>
      </w:pPr>
      <w:r>
        <w:t>Erwägungen</w:t>
      </w:r>
    </w:p>
    <w:p>
      <w:r>
        <w:rPr>
          <w:b/>
        </w:rPr>
        <w:t>E. 1</w:t>
      </w:r>
    </w:p>
    <w:p>
      <w:r>
        <w:t>Mit Urteil vom 16. August 2021 erteilte das Bezirksgericht Dielsdorf der Beschwerdegegnerin gegenüber dem Beschwerdeführer in der Betreibung Nr. xxx des Betreibungsamtes U.________ - gestützt auf eine Verfügung vom 30. Oktober 2019 betreffend Rückerstattung unrechtmässig bezogener Sozialhilfeleistungen - die definitive Rechtsöffnung für Fr. 3'631.30 nebst Zins.</w:t>
      </w:r>
    </w:p>
    <w:p>
      <w:r>
        <w:t>Dagegen erhob der Beschwerdeführer am 4. September 2021 (Postaufgabe) Beschwerde. Mit Urteil vom 24. September 2021 wies das Obergericht des Kantons Zürich die Beschwerde ab.</w:t>
      </w:r>
    </w:p>
    <w:p>
      <w:r>
        <w:t>Dagegen hat der Beschwerdeführer am 19. Oktober 2021 (Postaufgabe) Beschwerde an das Bundesgericht erhoben.</w:t>
      </w:r>
    </w:p>
    <w:p>
      <w:r>
        <w:rPr>
          <w:b/>
        </w:rPr>
        <w:t>E. 2</w:t>
      </w:r>
    </w:p>
    <w:p>
      <w:r>
        <w:t>Die Beschwerde ist nicht unterschrieben. Angesichts des Ausgangs des Verfahrens kann auf eine Rückweisung zur Verbesserung ( Art. 42 Abs. 5 BGG ) verzichtet werden.</w:t>
      </w:r>
    </w:p>
    <w:p>
      <w:r>
        <w:rPr>
          <w:b/>
        </w:rPr>
        <w:t>E. 3</w:t>
      </w:r>
    </w:p>
    <w:p>
      <w:r>
        <w:t>Der Beschwerdeführer möchte sich persönlich vor Gericht verteidigen. Auf eine mündliche Parteiverhandlung besteht vor Bundesgericht kein Anspruch ( Art. 57 BGG ). Das Urteil kann ohne weiteres anhand der Akten gefällt werden.</w:t>
      </w:r>
    </w:p>
    <w:p>
      <w:r>
        <w:rPr>
          <w:b/>
        </w:rPr>
        <w:t>E. 4</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5</w:t>
      </w:r>
    </w:p>
    <w:p>
      <w:r>
        <w:t>Vor Obergericht wandte sich der Beschwerdeführer gegen die Verfügung vom 30. Oktober 2019. Das Obergericht hat erwogen, dass diese Verfügung im Rechtsöffnungsverfahren inhaltlich nicht überprüft werden könne. Darauf geht der Beschwerdeführer nicht ein und er legt nicht dar, inwiefern das Obergericht gegen verfassungsmässige Rechte verstossen haben soll. Stattdessen wiederholt er seinen Standpunkt, er sei unschuldig und das Sozialamt habe ihn wie einen Verbrecher behandelt.</w:t>
      </w:r>
    </w:p>
    <w:p>
      <w:r>
        <w:t>Die Beschwerde enthält offensichtlich keine hinreichende Begründung. Auf sie ist im vereinfachten Verfahren durch das präsidierende Mitglied der Abteilung nicht einzutreten (Art. 117 i.V.m. Art. 108 Abs. 1 lit. b BGG ).</w:t>
      </w:r>
    </w:p>
    <w:p>
      <w:r>
        <w:rPr>
          <w:b/>
        </w:rPr>
        <w:t>E. 6</w:t>
      </w:r>
    </w:p>
    <w:p>
      <w:r>
        <w:t>Auf die Erhebung von Gerichtskosten ist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