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196/2013 vom 22. November 2013</w:t>
      </w:r>
    </w:p>
    <w:p>
      <w:r>
        <w:t>Bundesgericht, 2013-11-22, DE</w:t>
      </w:r>
    </w:p>
    <w:p>
      <w:r>
        <w:rPr>
          <w:b/>
        </w:rPr>
        <w:t xml:space="preserve">Quelle: </w:t>
      </w:r>
      <w:r>
        <w:t>https://mcp.opencaselaw.ch/entscheid/bger_5D_196_2013</w:t>
      </w:r>
    </w:p>
    <w:p>
      <w:r>
        <w:t>FR: TF 5D 196/2013 du 22 novembre 2013</w:t>
      </w:r>
    </w:p>
    <w:p>
      <w:r>
        <w:t>IT: TF 5D 196/2013 del 22 novembre 2013</w:t>
      </w:r>
    </w:p>
    <w:p>
      <w:pPr>
        <w:pStyle w:val="Heading2"/>
      </w:pPr>
      <w:r>
        <w:t>Regeste</w:t>
      </w:r>
    </w:p>
    <w:p>
      <w:r>
        <w:t>Kosten (vorsorgliche Massnahmen, Persönlichkeitsverletzung) | Personenrecht</w:t>
      </w:r>
    </w:p>
    <w:p>
      <w:pPr>
        <w:pStyle w:val="Heading2"/>
      </w:pPr>
      <w:r>
        <w:t>Volltext</w:t>
      </w:r>
    </w:p>
    <w:p>
      <w:r>
        <w:t>Bundesgericht II. zivilrechtliche Abteilung 22.11.2013 5D 196/2013 (5D_196/2013) Tribunal fédéral IIe Cour de droit civil 22.11.2013 5D 196/2013 (5D_196/2013) Tribunale federale II Corte di diritto civile 22.11.2013 5D 196/2013 (5D_196/2013)</w:t>
      </w:r>
    </w:p>
    <w:p>
      <w:r>
        <w:t>Kosten (vorsorgliche Massnahmen, Persönlichkeitsverletzung) | Personenrecht</w:t>
      </w:r>
    </w:p>
    <w:p>
      <w:r>
        <w:t>Bundesgericht Tribunal fédéral Tribunale federale Tribunal federal {T 0/2} 5D_196/2013 Urteil vom 22. November 2013 II. zivilrechtliche Abteilung Besetzung Bundesrichter von Werdt, Präsident, Gerichtsschreiber Füllemann. Verfahrensbeteiligte X.________, Beschwerdeführer, gegen Y.________ AG, Beschwerdegegnerin. Gegenstand Kosten (vorsorgliche Massnahmen, Persönlichkeitsverletzung), Verfassungsbeschwerde gegen den Beschluss vom 21. Oktober 2013 des Obergerichts des Kantons Zürich (II. Zivilkammer). Nach Einsicht in die Verfassungsbeschwerde gegen den Beschluss vom 21. Oktober 2013 des Obergerichts des Kantons Zürich, das auf eine Beschwerde des Beschwerdeführers gegen die Kostenauflage von Fr. 1'000.-- in einer Abschreibungsverfügung des Bezirksgerichts Zürich (Abschreiben eines Verfahrens betreffend vorsorgliche Massnahmen zufolge Gesuchsrückzugs durch den Beschwerdeführer)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sodann in einem Fall wie dem vorliegenden, wo der angefochtene Entscheid auf mehreren selbstständigen Begründungen beruht, anhand jeder dieser Begründungen nach den erwähnten Anforderungen eine Verfassungsverletzung darzutun ist ( BGE 133 IV 119 E. 6), dass das Obergericht im Beschluss vom 21. Oktober 2013 erwog, einerseits sei die Beschwerde verspätet, weil gegen die dem Beschwerdeführer am 20. September 2013 (Freitag) zugestellte Verfügung erst am 1. Oktober 2013 (und damit nach Ablauf der Beschwerdefrist: 30. September 2013) Beschwerde erhoben worden sei, anderseits wäre die Beschwerde auch deshalb unzulässig, weil es an einem genügenden Antrag in der Sache fehle (lediglich pauschales Begehren auf Kostenreduktion statt Angabe des reduzierten Betrags), dass der Beschwerdeführer in seiner Eingabe an das Bundesgericht nicht anhand der beiden obergerichtlichen Erwägungen nach den gesetzlichen Anforderungen, d.h. klar und detailliert aufzeigt, welche verfassungsmässigen Rechte und inwiefern sie durch den Beschluss des Obergerichts vom 21. Oktober 2013 verletzt sein sollen, dass im Übrigen entgegen der Auffassung des Beschwerdeführers die kantonale Beschwerdefrist - wie vom Obergericht zutreffend festgehalten - am 21. September 2013 zu laufen begann, weil Art. 142 Abs. 3 ZPO einzig für den Fristablauf gilt, dass somit auf die - offensichtlich keine hinreichende Begründung enthaltende - Verfassungsbeschwerde in Anwendung von Art. 117 i.V.m. Art. 108 Abs. 1 lit. b BGG nicht einzutreten ist, dass der unterliegende Beschwerdeführer kostenpflichtig wird ( Art. 66 Abs. 1 BGG ) und keine Parteientschädigung zugesprochen erhält, dass in den Fällen des Art. 117 i.V.m. Art. 108 Abs. 1 BGG das vereinfachte Verfahren zum Zuge kommt und der Abteilungspräsident zuständig ist, erkennt der Präsident: 1. Auf die Verfassungsbeschwerde wird nicht eingetreten. 2. Die Gerichtskosten von Fr. 200.-- werden dem Beschwerdeführer auferlegt. 3. Dem Beschwerdeführer wird keine Parteientschädigung zugesprochen. 4. Dieses Urteil wird den Parteien und dem Obergericht des Kantons Zürich schriftlich mitgeteilt. Lausanne, 22. November 2013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