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193/2021 vom 18. Oktober 2021</w:t>
      </w:r>
    </w:p>
    <w:p>
      <w:r>
        <w:t>Bundesgericht, 2021-10-18, DE</w:t>
      </w:r>
    </w:p>
    <w:p>
      <w:r>
        <w:rPr>
          <w:b/>
        </w:rPr>
        <w:t xml:space="preserve">Quelle: </w:t>
      </w:r>
      <w:r>
        <w:t>https://mcp.opencaselaw.ch/entscheid/bger_5D_193_2021</w:t>
      </w:r>
    </w:p>
    <w:p>
      <w:r>
        <w:t>FR: TF 5D 193/2021 du 18 octobre 2021</w:t>
      </w:r>
    </w:p>
    <w:p>
      <w:r>
        <w:t>IT: TF 5D 193/2021 del 18 ottobre 2021</w:t>
      </w:r>
    </w:p>
    <w:p>
      <w:pPr>
        <w:pStyle w:val="Heading2"/>
      </w:pPr>
      <w:r>
        <w:t>Regeste</w:t>
      </w:r>
    </w:p>
    <w:p>
      <w:r>
        <w:t>Definitive Rechtsöffnung | Schuldbetreibungs- und Konkursrecht</w:t>
      </w:r>
    </w:p>
    <w:p>
      <w:pPr>
        <w:pStyle w:val="Heading2"/>
      </w:pPr>
      <w:r>
        <w:t>Erwägungen</w:t>
      </w:r>
    </w:p>
    <w:p>
      <w:r>
        <w:rPr>
          <w:b/>
        </w:rPr>
        <w:t>E. 1</w:t>
      </w:r>
    </w:p>
    <w:p>
      <w:r>
        <w:t>Der Streitwert beträgt weniger als Fr. 30'000.--, weshalb nicht die Beschwerde in Zivilsachen (vgl. Art. 74 Abs. 1 lit. b BGG ), sondern einzig die subsidiäre Verfassungsbeschwerde zur Verfügung steht ( Art. 113 BGG ). Mit dieser kann nur die Verletzung verfassungsmässiger Rechte gerügt werden ( Art. 116 BGG ).</w:t>
      </w:r>
    </w:p>
    <w:p>
      <w:r>
        <w:rPr>
          <w:b/>
        </w:rPr>
        <w:t>E. 2</w:t>
      </w:r>
    </w:p>
    <w:p>
      <w:r>
        <w:t>Der Beschwerdeführer macht weder explizit noch implizit Verfassungsrügen geltend. Seine Ausführungen betreffen im Übrigen auch nicht die Nichteintretenserwägungen des angefochtenen Entscheides. Vielmehr macht er geltend, sein Einkommen betrage netto lediglich Fr. 3'500.-- und davon bezahle er Fr. 2'000.-- Alimente, weshalb er unter dem Existenzminimum lebe. Die fehlenden Steuerbeträge aus dem Tessin seien Sache seiner früheren Ehefrau. Dahingehende Einwände sind indes, wie bereits die kantonalen Instanzen dem Beschwerdeführer erläutert haben, im Verfahren der definitiven Rechtsöffnung nicht mehr möglich.</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Angesichts der konkreten Umstände wird ausnahmsweise auf die Erhebung von Gerichtskosten verzichtet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