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193/2015 vom 26. Februar 2016</w:t>
      </w:r>
    </w:p>
    <w:p>
      <w:r>
        <w:t>Bundesgericht, 2016-02-26, FR</w:t>
      </w:r>
    </w:p>
    <w:p>
      <w:r>
        <w:rPr>
          <w:b/>
        </w:rPr>
        <w:t xml:space="preserve">Quelle: </w:t>
      </w:r>
      <w:r>
        <w:t>https://mcp.opencaselaw.ch/entscheid/bger_5D_193_2015</w:t>
      </w:r>
    </w:p>
    <w:p>
      <w:r>
        <w:t>FR: TF 5D 193/2015 du 26 février 2016</w:t>
      </w:r>
    </w:p>
    <w:p>
      <w:r>
        <w:t>IT: TF 5D 193/2015 del 26 febbraio 2016</w:t>
      </w:r>
    </w:p>
    <w:p>
      <w:pPr>
        <w:pStyle w:val="Heading2"/>
      </w:pPr>
      <w:r>
        <w:t>Regeste</w:t>
      </w:r>
    </w:p>
    <w:p>
      <w:r>
        <w:t>opposition au séquestre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Interjeté dans le délai légal ( art. 100 al. 1 LTF ) contre une décision finale ( art. 90 LTF ) rendue en matière de poursuite pour dettes ( art. 72 al. 2 let. a LTF ) par une autorité cantonale supérieure ayant statué sur recours ( art. 75 al. 1 et 2 LTF ), le recours est en principe ouvert sous l'angle de ces dispositions. Comme l'a constaté l'autorité cantonale, la valeur litigieuse atteint 30'000 fr. ( cf . ATF 139 III 200 consid. 4.3.2), en sorte qu'il est aussi recevable de ce chef ( art. 74 al. 1 let. b LTF ). Le recourant a qualité pour entreprendre la décision d'irrecevabilité de la cour cantonale ( art. 76 al. 1 let. b LTF ; ATF 135 II 145 consid. 3.1; arrêt 5A_256/2014 du 26 août 2014 consid. 1).</w:t>
      </w:r>
    </w:p>
    <w:p>
      <w:r>
        <w:rPr>
          <w:b/>
        </w:rPr>
        <w:t>E. 1.2</w:t>
      </w:r>
    </w:p>
    <w:p>
      <w:r>
        <w:t>Le chef de conclusions ( n° 2 ) tendant à ce que le Tribunal fédéral dise que le recours cantonal était recevable doit être écarté, faute d'un intérêt à la constatation ( art. 42 al. 1 LTF ; Merz, in : Basler Kommentar, BGG, 2e éd., 2011, n° 21a ad art. 42 LTF , avec les citations).</w:t>
      </w:r>
    </w:p>
    <w:p>
      <w:r>
        <w:rPr>
          <w:b/>
        </w:rPr>
        <w:t>E. 1.3</w:t>
      </w:r>
    </w:p>
    <w:p>
      <w:r>
        <w:t>Vu ce qui précède, la présente écriture doit être traitée en tant que recours en matière civile; la fausse dénomination du recours ne porte pas préjudice au recourant ( cf . ATF 138 I 367 consid. 1.1), d'autant que celui-ci dénonce une violation des art. 29 al. 1 Cst. et 6 § 1 CEDH .</w:t>
      </w:r>
    </w:p>
    <w:p>
      <w:r>
        <w:rPr>
          <w:b/>
        </w:rPr>
        <w:t>E. 2</w:t>
      </w:r>
    </w:p>
    <w:p>
      <w:r>
        <w:t>En l'espèce, l'autorité précédente a rappelé que, en vertu de l' art. 321 al. 2 CPC , le délai pour recourir à l'encontre d'une décision rendue en procédure sommaire ( art. 251 let. a CPC ) est de dix jours. Le recourant ayant reçu le jugement de première instance le 9 septembre 2015, ce délai expirait le 21 septembre suivant; expédié le 22 septembre 2015, le recours s'avère tardif, partant irrecevable. Le recourant affirme qu'il a déposé son recours le " jeudi 18 septembre 2015 à l'ambassade de Suisse à Bruxelles "; il produit, à cet égard, une quittance établie par cette ambassade le 18 septembre 2015, attestant la remise d'une " enveloppe fermée (recours d'appel) " à l'attention de la " Cour de justice [suit l'adresse]".</w:t>
      </w:r>
    </w:p>
    <w:p>
      <w:r>
        <w:rPr>
          <w:b/>
        </w:rPr>
        <w:t>E. 2.1</w:t>
      </w:r>
    </w:p>
    <w:p>
      <w:r>
        <w:t>La quittance destinée à établir la date du dépôt du recours est une pièce nouvelle. Celle-ci est en principe irrecevable, à moins de résulter de la décision de l'autorité précédente (art. 99 al. 1 in fine LTF); cette exception vise à autoriser les pièces nouvelles dont la production n'est rendue pertinente, pour la première fois, qu'en raison des motifs de la juridiction précédente ( ATF 136 III 123 consid. 4.4.3). En l'occurrence, la pièce en question vise à contredire les motifs de la Cour de justice quant à la tardiveté du recours cantonal. Sous l'empire du recours de droit public - moyen de droit qui prohibait également les nova -, le Tribunal fédéral avait admis la recevabilité d'une telle pièce (arrêts 5P.171/2001 du 31 juillet 2001 consid. 2a in fine ; 5P.301/2006 du 27 juillet 2006 consid. 2.1); cette solution peut être reconduite pour le nouveau droit, qui reprend ici les principes posés par la législation antérieure ( ATF 133 III 393 consid. 3, qui cite l'arrêt publié à l' ATF 128 I 354 consid. 6c).</w:t>
      </w:r>
    </w:p>
    <w:p>
      <w:r>
        <w:rPr>
          <w:b/>
        </w:rPr>
        <w:t>E. 2.2</w:t>
      </w:r>
    </w:p>
    <w:p>
      <w:r>
        <w:t>Aux termes de l' art. 278 al. 3 LP , la décision sur opposition peut faire l'objet d'un recours au sens du CPC; les règles de cette loi sur la computation et l'observation des délais ( art. 142 et 143 CPC ) sont ainsi applicables au délai de recours ( art. 31 LP ; cf . parmi d'autres: ABBET, Délais, féries et suspensions en droit des poursuites et en procédure civile, in : JdT 2016 II p. 73 et 90; TAPPY, in : Code de procédure civile commenté, 2011, n° 18 ad art. 145 CPC ). Selon l' art. 143 al. 1 CPC , les actes doivent être remis au plus tard le dernier jour du délai soit au tribunal soit à l'attention de ce dernier, à la poste suisse - et non, hormis celui du Liechtenstein, à un office postal étranger (arrêts 5A_59/2011 du 25 mars 2011 consid. 4, in : SJ 2011 I p. 343; 4A_468/2013 du 21 octobre 2013 consid. 3.1, obs. SCHWEIZER, in : RSPC 2014 p. 56; 4A_399/2014 du 11 février 2015 consid. 2.2) - ou à une " représentation diplomatique ou consulaire suisse " (v. déjà dans ce sens: ATF 71 I 426 consid. 1). Dans le cas présent, il ressort de la quittance produite par le recourant ( cf . supra , consid. 2.1) que le recours cantonal a été déposé en temps utile ( cf . art. 321 al. 2 CPC ). Peu importe qu'il soit parvenu en main de la juridiction précédente après l'expiration du délai de recours, la date déterminante étant la remise de l'écriture à l'ambassade (pour l' art. 48 al. 1 LTF : arrêt 4A_503/2009 du 17 novembre 2009 consid. 2.1), et non celle de sa réception par le greffe de la Cour de justice. A ce propos, il convient de préciser que l'acheminement ultérieur de l'acte au tribunal incombe à la représentation suisse concernée (TAPPY, op . cit ., n° 15 ad art. 143 CPC ; DUTOIT, Commentaire de la loi fédérale du 18 décembre 1987, 4e éd., 2005, n° 2 et VOLKEN, in : Zürcher Kommentar zum IPRG, 2e éd., 2004, n° 3 ad art. 12a LDIP ; NORDMANN, in : Basler Kommentar, SchKG I, 2e éd., 2010, n° 28 ad art. 31 LP ); de fait, le suivi des envois de la Poste (" Track&amp;Trace ": 98.34.141281.10203610) confirme que le pli contenant le recours cantonal a été mis à la poste le 22 septembre 2015 par l'" EDA Bern " à l'Office de " 307067 Ostermundigen LZB ". Cet élément aurait d'ailleurs dû intriguer l'autorité précédente, dès lors qu'il apparaît singulier qu'un pli recommandé dont l'expéditeur est domicilié au Luxembourg soit envoyé depuis Ostermundigen; tenue d'examiner d'office la recevabilité du recours, il lui incombait d'effectuer dans ce contexte les (simples) vérifications nécessaires. Cela étant, il n'y a pas lieu de décider si l' art. 143 al. 1 CPC est également applicable - à la différence de l' art. 12a LDIP - aux personnes domiciliées en Suisse ( cf . en ce sens: HOFFMANN-NOWOTNY, in : Kurzkommentar ZPO, 2e éd., 2013, n° 8 ad art. 143 CPC , avec la doctrine citée).</w:t>
      </w:r>
    </w:p>
    <w:p>
      <w:r>
        <w:rPr>
          <w:b/>
        </w:rPr>
        <w:t>E. 2.3</w:t>
      </w:r>
    </w:p>
    <w:p>
      <w:r>
        <w:t>Le recours est ainsi fondé ( cf . arrêt 5A_484/2008 du 16 septembre 2008 consid. 4.2, in : RSPC 2009 p. 133). L'autorité précédente n'étant pas entrée en matière, il convient de lui renvoyer la cause pour qu'elle statue sur le mérite du recours ( ATF 138 III 46 consid. 1.2), autant que les autres conditions de recevabilité sont remplies.</w:t>
      </w:r>
    </w:p>
    <w:p>
      <w:r>
        <w:rPr>
          <w:b/>
        </w:rPr>
        <w:t>E. 3</w:t>
      </w:r>
    </w:p>
    <w:p>
      <w:r>
        <w:t>Vu l'issue de la procédure, les frais judiciaires incombent à l'intimée, qui a conclu au rejet du recours ( art. 66 al. 1 LTF ; ATF 119 Ia 1 consid. 6b; arrêt 4A_518/2012 du 8 janvier 2013 consid. 3.1). En revanche, des dépens ne peuvent être mis à sa charge, puisque son adverse partie a procédé sans le concours d'un avocat ( ATF 133 III 439 consid. 4; 135 III 127 consid.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