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5D_193/2014 vom 22. Juni 2015</w:t>
      </w:r>
    </w:p>
    <w:p>
      <w:r>
        <w:t>Bundesgericht, 2015-06-22, DE</w:t>
      </w:r>
    </w:p>
    <w:p>
      <w:r>
        <w:rPr>
          <w:b/>
        </w:rPr>
        <w:t xml:space="preserve">Quelle: </w:t>
      </w:r>
      <w:r>
        <w:t>https://mcp.opencaselaw.ch/entscheid/bger_5D_193_2014</w:t>
      </w:r>
    </w:p>
    <w:p>
      <w:r>
        <w:t>FR: TF 5D_193/2014 du 22 juin 2015</w:t>
      </w:r>
    </w:p>
    <w:p>
      <w:r>
        <w:t>IT: TF 5D_193/2014 del 22 giugno 2015</w:t>
      </w:r>
    </w:p>
    <w:p>
      <w:pPr>
        <w:pStyle w:val="Heading2"/>
      </w:pPr>
      <w:r>
        <w:t>Erwägungen</w:t>
      </w:r>
    </w:p>
    <w:p>
      <w:r>
        <w:rPr>
          <w:b/>
        </w:rPr>
        <w:t>E. 1</w:t>
      </w:r>
    </w:p>
    <w:p>
      <w:r>
        <w:t>Die Beschwerde richtet sich gegen den Endentscheid einer letzten kantonalen Instanz in einer Dienstbarkeitssache, wobei einzig die Kostenregelung angefochten ist. Das Obergericht hat den Streitwert mit Fr. 27'525.-- angegeben (vgl. Art. 51 Abs. 1 lit. a BGG ), was von den Beschwerdeführern anerkannt wird. Da der Streitwert für die Beschwerde in Zivilsachen nicht erreicht ist ( Art. 74 Abs. 1 lit. b BGG ) und die Beschwerdeführer keine Rechtsfrage von grundsätzlicher Bedeutung geltend machen ( Art. 74 Abs. 2 lit. a BGG ), ist die subsidiäre Verfassungsbeschwerde das zutreffende Rechtsmittel ( Art. 113 BGG ). Sie ist rechtzeitig erhoben worden (Art. 117 i.V.m. Art. 100 Abs. 1 BGG ).</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 Wollen die Beschwerdeführer insbesondere die Verletzung des Willkürverbots ( Art. 9 BV ) geltend machen, reicht es somit nicht aus, wenn sie die Lage aus ihrer eigenen Sicht darlegen und den davon abweichenden angefochtenen Entscheid als willkürlich bezeichnen. Vielmehr müssen sie im Einzelnen dartun, inwiefern das kantonale Gericht willkürlich entschieden haben soll und der angefochtene Entscheid deshalb an einem qualifizierten und offensichtlichen Mangel leidet ( BGE 134 II 244 E. 2.2 S. 246).</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w:t>
      </w:r>
    </w:p>
    <w:p>
      <w:r>
        <w:rPr>
          <w:b/>
        </w:rPr>
        <w:t>E. 2</w:t>
      </w:r>
    </w:p>
    <w:p>
      <w:r>
        <w:t>Anlass zur Verfassungsbeschwerde gibt einzig die Verteilung der erst- und zweitinstanzlichen Gerichts- und Parteikosten.</w:t>
      </w:r>
    </w:p>
    <w:p>
      <w:r>
        <w:rPr>
          <w:b/>
        </w:rPr>
        <w:t>E. 2.1</w:t>
      </w:r>
    </w:p>
    <w:p>
      <w:r>
        <w:t>Das Obergericht hat die Gerichtskosten halbiert und die Parteikosten wettgeschlagen. Zur Begründung hat es auf den Verfahrensausgang und Art. 106 Abs. 1 ZPO verwiesen.</w:t>
      </w:r>
    </w:p>
    <w:p>
      <w:r>
        <w:rPr>
          <w:b/>
        </w:rPr>
        <w:t>E. 2.2</w:t>
      </w:r>
    </w:p>
    <w:p>
      <w:r>
        <w:t>Die Beschwerdeführer sind der Ansicht, das Obergericht habe Art. 106 ZPO willkürlich angewendet. Der Kostenentscheid des Obergerichts würde voraussetzen, dass die Beschwerdeführer nur rund zur Hälfte durchgedrungen wären. Dies sei jedoch nicht der Fall. Sie hätten erstinstanzlich obsiegt. Das Obergericht habe am Dispositiv des erstinstanzlichen Urteils lediglich sprachliche Korrekturen ohne materielle Konsequenzen vorgenommen, so dass sie auch vor Obergericht obsiegt hätten.</w:t>
      </w:r>
    </w:p>
    <w:p>
      <w:r>
        <w:rPr>
          <w:b/>
        </w:rPr>
        <w:t>E. 2.3</w:t>
      </w:r>
    </w:p>
    <w:p>
      <w:r>
        <w:t>Mit Klagebegehren 1 ihrer Klage vom 12. Juni 2012 verlangten die Beschwerdeführer, den Beschwerdegegnern "sei zu verbieten, auf ihrem Grundstück GB U.________ Nr. yyy unter Missachtung des Fusswegrechts der Kläger eine geschlossene Garage direkt an die Grenze zum klägerischen Grundstück GB U.________ Nr. xxx zu erstellen". In Gutheissung der Klage hat das Gerichtspräsidium dieses Begehren praktisch wörtlich zum Dispositiv erhoben. Das Obergericht hat die entsprechende Dispositivziffer des erstinstanzlichen Urteils hingegen durch folgende Fassung ersetzt: "In teilweiser Gutheissung von Klagebegehren 1 wird den Beklagten verboten, eine geschlossene Garage auf ihrem Grundstück GB U.________ Nr. yyy so zu erstellen, dass das zu Gunsten des Grundstücks GB U.________ Nr. xxx bestehende Fusswegrecht beeinträchtigt wird." Im Übrigen wies es das Klagebegehren 1 ab.</w:t>
      </w:r>
    </w:p>
    <w:p>
      <w:r>
        <w:t>Während das Gerichtspräsidium das Klagebegehren 1 demnach vollumfänglich gutgeheissen hat, tat dies das Obergericht nur teilweise. Dementsprechend hat es seine Formulierung auch nicht als blosse Umformulierung des vom Gerichtspräsidium Angeordneten verstanden. Begründet hat es seinen Entscheid wie folgt: Das Klagebegehren 1 der Beschwerdeführer sei zweideutig gewesen. Es könne bedeuten, dass sie den Bau jeglicher geschlossener Garage verbieten lassen wollten oder bloss den Bau einer solchen Garage, die die Ausübung des Wegrechts verunmögliche. Aus der Auslegung der Rechtsschriften ergebe sich, dass sie ersteres gewollt hätten. Gemäss Baubewilligungsentscheid dürften die Beschwerdegegner die Garage nur geschlossen und nicht offen erstellen. Die fraglichen Dienstbarkeiten seien erst nach dem Baubewilligungsentscheid begründet worden und dürften die Durchsetzung zwingenden öffentlichen Rechts nicht vereiteln. Den Beschwerdegegnern könne daher nicht generell der Bau einer geschlossenen Garage verboten werden. Es sei auch nicht ersichtlich, dass der Bau einer geschlossenen Garage mit dem Fusswegrecht unvereinbar sei. Die Beschwerdeführer selber hätten auf die Möglichkeit des Einbaus von zwei Türen hingewiesen. Das Unterlassungsbegehren sei deshalb nur soweit gutzuheissen, als den Beschwerdegegnern zu verbieten sei, eine geschlossene Garage so zu erstellen, dass das Fusswegrecht beeinträchtigt werde.</w:t>
      </w:r>
    </w:p>
    <w:p>
      <w:r>
        <w:t>Die Beschwerdeführer wenden vor Bundesgericht ein, das Obergericht habe am Dispositiv bloss sprachliche, aber keine inhaltlichen Korrekturen vorgenommen. Dass es sich um eine sprachliche Korrektur ohne inhaltliche Folgen handeln müsse, versuchen die Beschwerdeführer dadurch nachzuweisen, dass sich die Sachlage gar nicht so präsentieren könne, wie das Obergericht annehme. Sie werfen dem Obergericht in diesem Zusammenhang diverse Fehler in der Beurteilung der Sache vor und machen insbesondere geltend, aufgrund des knappen Freiraums zwischen den beiden Häusern sei es gar nicht möglich, eine geschlossene Garage so zu erstellen, dass das Fusswegrecht respektiert würde. Damit versuchen die Beschwerdeführer offensichtlich, unter dem Deckmantel der Kostenbeschwerde eine inhaltliche Korrektur oder zumindest eine Uminterpretation des angefochtenen Entscheids dahingehend zu erwirken, dass sie doch vollumfänglich obsiegt hätten (d.h. den Beschwerdegegnern der Bau jeder geschlossenen Garage verboten sei). Dies bedeutet zugleich: Würde das Bundesgericht den Kostenentscheid anhand der Rügen der Beschwerdeführer prüfen, müsste es sich notwendigerweise zum materiellen Inhalt des angefochtenen Entscheids äussern. Dies kann im Rahmen einer Kostenbeschwerde nicht angehen. Insoweit ist auf die Beschwerde nicht einzutreten.</w:t>
      </w:r>
    </w:p>
    <w:p>
      <w:r>
        <w:t>Für die Beurteilung der Kostenbeschwerde ist demnach auf den Wortlaut des obergerichtlichen Dispositivs und die entsprechende Begründung abzustellen, die den Wortsinn des Dispositivs erhellt. Unter dieser Voraussetzung ist jedoch nicht ersichtlich und wird von den Beschwerdeführern auch nicht dargetan, weshalb die obergerichtliche Kostenverteilung angesichts des teilweisen Unterliegens der Beschwerdeführer willkürlich sein soll.</w:t>
      </w:r>
    </w:p>
    <w:p>
      <w:r>
        <w:rPr>
          <w:b/>
        </w:rPr>
        <w:t>E. 2.4</w:t>
      </w:r>
    </w:p>
    <w:p>
      <w:r>
        <w:t>Zusätzlich wenden die Beschwerdeführer ein, beim Kostenentscheid habe das Obergericht das Unterliegen der Beschwerdegegner hinsichtlich ihrer Anträge auf Löschung bzw. Ablösung des Fusswegrechts ausser Acht gelassen. Auch dies sei willkürlich.</w:t>
      </w:r>
    </w:p>
    <w:p>
      <w:r>
        <w:t>Dieser Einwand betrifft einzig die obergerichtlichen Prozesskosten. Die Beschwerdegegner haben die fraglichen Anträge vor Obergericht erstmals gestellt, weshalb es auf sie nicht eingetreten ist.</w:t>
      </w:r>
    </w:p>
    <w:p>
      <w:r>
        <w:t>Es wäre zwar denkbar gewesen zu berücksichtigen, dass die Beschwerdegegner im Berufungsverfahren mit ihren neuen Anträgen unterlegen sind und dementsprechend die obergerichtlichen Kosten anders zu verteilen als diejenigen für das erstinstanzliche Verfahren. Dass eine andere Lösung als die getroffene möglich erscheint, begründet jedoch noch keine Willkür. Bei der Gewichtung und Bewertung, inwiefern eine Partei obsiegt hat oder unterlegen ist, besteht ein gewisser Spielraum. Dies gilt insbesondere in Fällen wie dem vorliegenden, in denen nicht die Bezahlung einer bestimmten Geldsumme eingeklagt war. Eine Bestimmung der anteilsmässigen Prozessgewinn- bzw. -verlustanteile kann diesfalls mit Schwierigkeiten verbunden sein, so dass ein gewisser Schematismus vor dem Willkürverbot standhält.</w:t>
      </w:r>
    </w:p>
    <w:p>
      <w:r>
        <w:rPr>
          <w:b/>
        </w:rPr>
        <w:t>E. 2.5</w:t>
      </w:r>
    </w:p>
    <w:p>
      <w:r>
        <w:t>Die Beschwerde ist somit abzuweisen, soweit auf sie eingetreten werden kann.</w:t>
      </w:r>
    </w:p>
    <w:p>
      <w:r>
        <w:rPr>
          <w:b/>
        </w:rPr>
        <w:t>E. 3</w:t>
      </w:r>
    </w:p>
    <w:p>
      <w:r>
        <w:t>Bei diesem Ausgang des Verfahrens tragen die Beschwerdeführer die Gerichtskosten, und zwar zu gleichen Teilen und unter solidarischer Haftung ( Art. 66 Abs. 1 und Abs. 5 BGG ). Zudem haben sie die Beschwerdegegner angemessen zu entschädigen, wobei die Beschwerdeführer die Entschädigung wiederum zu gleichen Teilen und unter solidarischer Haftung zu tragen haben ( Art. 68 Abs. 1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