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191/2019 vom 7. Oktober 2019</w:t>
      </w:r>
    </w:p>
    <w:p>
      <w:r>
        <w:t>Bundesgericht, 2019-10-07, DE</w:t>
      </w:r>
    </w:p>
    <w:p>
      <w:r>
        <w:rPr>
          <w:b/>
        </w:rPr>
        <w:t xml:space="preserve">Quelle: </w:t>
      </w:r>
      <w:r>
        <w:t>https://mcp.opencaselaw.ch/entscheid/bger_5D_191_2019</w:t>
      </w:r>
    </w:p>
    <w:p>
      <w:r>
        <w:t>FR: TF 5D 191/2019 du 7 octobre 2019</w:t>
      </w:r>
    </w:p>
    <w:p>
      <w:r>
        <w:t>IT: TF 5D 191/2019 del 7 ottobre 2019</w:t>
      </w:r>
    </w:p>
    <w:p>
      <w:pPr>
        <w:pStyle w:val="Heading2"/>
      </w:pPr>
      <w:r>
        <w:t>Regeste</w:t>
      </w:r>
    </w:p>
    <w:p>
      <w:r>
        <w:t>Provisorische Rechtsöffnung | Schuldbetreibungs- und Konkursrecht</w:t>
      </w:r>
    </w:p>
    <w:p>
      <w:pPr>
        <w:pStyle w:val="Heading2"/>
      </w:pPr>
      <w:r>
        <w:t>Erwägungen</w:t>
      </w:r>
    </w:p>
    <w:p>
      <w:r>
        <w:rPr>
          <w:b/>
        </w:rPr>
        <w:t>E. 1</w:t>
      </w:r>
    </w:p>
    <w:p>
      <w:r>
        <w:t>Mit Zahlungsbefehl Nr. xxx des Betreibungsamtes Pizol betrieb die Beschwerdeführerin die Beschwerdegegnerin für Fr. 19'800.-- (offene Mietzinse September 2018 bis Februar 2019). Mit Entscheid vom 7. Mai 2019 wies das Kreisgericht Werdenberg-Sarganserland das Gesuch der Beschwerdeführerin um provisorische Rechtsöffnung ab. Dagegen erhob die Beschwerdeführerin am 13. Mai 2019 Beschwerde an das Kantonsgericht St. Gallen. Mit Entscheid vom 23. September 2019 wies das Kantonsgericht die Beschwerde ab. Gegen diesen Entscheid hat die Beschwerdeführerin am 1. Oktober 2019 (Postaufgabe) subsidiäre Verfassungsbeschwerde an das Bundesgericht erhoben.</w:t>
      </w:r>
    </w:p>
    <w:p>
      <w:r>
        <w:rPr>
          <w:b/>
        </w:rPr>
        <w:t>E. 2</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an das Bundesgericht selber enthalten sein und es genügt nicht, auf andere Rechtsschriften oder die Akten zu verweisen ( BGE 143 II 283 E. 1.2.3 S. 286; 138 III 252 E. 3.2 S. 258; 133 II 396 E. 3.1 S. 400). Soweit die Beschwerdeführerin auf ihre kantonale Beschwerde verweist, ist darauf nicht einzugehen.</w:t>
      </w:r>
    </w:p>
    <w:p>
      <w:r>
        <w:rPr>
          <w:b/>
        </w:rPr>
        <w:t>E. 3</w:t>
      </w:r>
    </w:p>
    <w:p>
      <w:r>
        <w:t>Die Beschwerdeführerin schildert zunächst den Sachverhalt aus ihrer Sicht, insbesondere in Bezug auf das Nutzungsverbot an den vermieteten Räumen bzw. hinsichtlich der Frage, welche der Parteien das Verbot zu verantworten hat. Sie wirft dem Kantonsgericht vor, sich diesbezüglich auf eine falsche Grundvoraussetzung gestützt zu haben. Eine Verfassungsrüge in diesem Zusammenhang fehlt. Die Beschwerdeführerin macht sodann geltend, ihr sei das rechtliche Gehör verweigert worden, während es der Beschwerdegegnerin gewährt worden sei. Sie rügt eine Verletzung von Art. 8 und Art. 29 Abs. 1 und 2 BV sowie von Art. 6 Ziff. 1 EMRK . Konkret geht es um ein Schreiben des Kreisgerichts vom 24. April 2019, mit dem der Beschwerdeführerin das Replikrecht verweigert worden sein soll. Mit diesem Einwand befasste sich bereits das Kantonsgericht. Es hat erwogen, eine Beschneidung des Replikrechts liege nicht vor. Das Kreisgericht habe nämlich nach diesem Schreiben, mit dem die Gesuchsantwort zugestellt und ein Entscheid in den nächsten Tagen in Aussicht gestellt worden sei, eine angemessene Zeitspanne abgewartet und der Beschwerdeführerin so ermöglicht, vom Replikrecht Gebrauch zu machen, was diese denn auch getan habe. Auf diese Erwägung geht die Beschwerdeführerin nicht ein.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