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190/2021 vom 29. November 2021</w:t>
      </w:r>
    </w:p>
    <w:p>
      <w:r>
        <w:t>Bundesgericht, 2021-11-29, DE</w:t>
      </w:r>
    </w:p>
    <w:p>
      <w:r>
        <w:rPr>
          <w:b/>
        </w:rPr>
        <w:t xml:space="preserve">Quelle: </w:t>
      </w:r>
      <w:r>
        <w:t>https://mcp.opencaselaw.ch/entscheid/bger_5D_190_2021</w:t>
      </w:r>
    </w:p>
    <w:p>
      <w:r>
        <w:t>FR: TF 5D 190/2021 du 29 novembre 2021</w:t>
      </w:r>
    </w:p>
    <w:p>
      <w:r>
        <w:t>IT: TF 5D 190/2021 del 29 novembre 2021</w:t>
      </w:r>
    </w:p>
    <w:p>
      <w:pPr>
        <w:pStyle w:val="Heading2"/>
      </w:pPr>
      <w:r>
        <w:t>Regeste</w:t>
      </w:r>
    </w:p>
    <w:p>
      <w:r>
        <w:t>Definitive Rechtsöffnung | Schuldbetreibungs- und Konkursrecht</w:t>
      </w:r>
    </w:p>
    <w:p>
      <w:pPr>
        <w:pStyle w:val="Heading2"/>
      </w:pPr>
      <w:r>
        <w:t>Erwägungen</w:t>
      </w:r>
    </w:p>
    <w:p>
      <w:r>
        <w:rPr>
          <w:b/>
        </w:rPr>
        <w:t>E. 1</w:t>
      </w:r>
    </w:p>
    <w:p>
      <w:r>
        <w:t>Der Streitwert beträgt gemäss den unbeanstandeten Feststellungen im angefochtenen Entscheid weniger als Fr. 30'000.--. Damit steht die Beschwerde in Zivilsachen nicht offen ( Art. 74 Abs. 1 lit. b BGG ), sondern einzig die subsidiäre Verfassungsbeschwerde ( Art. 113 BGG ). Mit ihr kann ausschliesslich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 Weil die Vorinstanz auf das Rechtsmittel des Beschwerdeführers nicht eingetreten ist, kann im Übrigen nur die Frage, ob die Vorinstanz zu Recht einen Nichteintretensentscheid gefällt hat, den Beschwerdegegenstand bilden ( BGE 135 II 38 E. 1.2 S. 41; 139 II 233 E. 3.2 S. 235). Darauf haben sich die Verfassungsrügen zu beziehen.</w:t>
      </w:r>
    </w:p>
    <w:p>
      <w:r>
        <w:rPr>
          <w:b/>
        </w:rPr>
        <w:t>E. 2</w:t>
      </w:r>
    </w:p>
    <w:p>
      <w:r>
        <w:t>Der Beschwerdeführer macht weder explizit noch der Sache nach Verfassungsverletzungen geltend. Bereits daran scheitert die Beschwerde. Nur der Vollständigkeit halber sei festgehalten, dass ohnehin seine Auffassung nicht verfängt, es sei unrealistisch, eine dauernde Präsenz zu verlangen, und die Nichtzustellung sei ja gerade dadurch belegt, dass die Postsendung mit der Nachfristansetzung ungeöffnet an das Obergericht zurückgegangen sei: Mit Zustellungen muss rechnen, wer sich in einem Prozessrechtsverhältnis befindet ( BGE 138 III 225 E. 3.1 S. 227 f.). Dies trifft hier zu und umso mehr musste der Beschwerdeführer vorliegend mit weiteren Zustellungen rechnen, als er kurz zuvor die erste Kostenvorschussverfügung in Empfang genommen hatte. Diesfalls gilt eine nicht abgeholte eingeschriebene Sendung an siebten Tag nach dem erfolglosen Zustellungsversuch als zugestellt ( Art. 138 Abs. 3 lit. a ZPO ).</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