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5D_190/2018 vom 28. November 2018</w:t>
      </w:r>
    </w:p>
    <w:p>
      <w:r>
        <w:t>Bundesgericht, 2018-11-28, DE</w:t>
      </w:r>
    </w:p>
    <w:p>
      <w:r>
        <w:rPr>
          <w:b/>
        </w:rPr>
        <w:t xml:space="preserve">Quelle: </w:t>
      </w:r>
      <w:r>
        <w:t>https://mcp.opencaselaw.ch/entscheid/bger_5D_190_2018</w:t>
      </w:r>
    </w:p>
    <w:p>
      <w:r>
        <w:t>FR: TF 5D_190/2018 du 28 novembre 2018</w:t>
      </w:r>
    </w:p>
    <w:p>
      <w:r>
        <w:t>IT: TF 5D_190/2018 del 28 novembre 2018</w:t>
      </w:r>
    </w:p>
    <w:p>
      <w:pPr>
        <w:pStyle w:val="Heading2"/>
      </w:pPr>
      <w:r>
        <w:t>Erwägungen</w:t>
      </w:r>
    </w:p>
    <w:p>
      <w:r>
        <w:rPr>
          <w:b/>
        </w:rPr>
        <w:t>E. 1</w:t>
      </w:r>
    </w:p>
    <w:p>
      <w:r>
        <w:t>Der Beschwerdeführer erhob am 1. November 2018 (Postaufgabe) Beschwerde gegen einen Entscheid des Regionalgerichts Bern-Mittelland vom 17. Oktober 2018 (CIV 18 4953), mit dem der Beschwerdegegnerin gegenüber dem Beschwerdeführer in der Betreibung Nr. xxx des Betreibungsamts Bern-Mittelland, Dienststelle Mittelland, provisorische Rechtsöffnung für Fr. 4'188.35 erteilt worden war. Mit Verfügung vom 8. November 2018 wies das Obergericht den Antrag um Aufschub der Vollstreckbarkeit ab. Zur Begründung führte es aus, es müsste dargelegt werden, dass dem Schuldner mit dem blossen Rückforderungsanspruch bei Gutheissung der Beschwerde nicht gedient wäre. Solches mache der Beschwerdeführer nicht geltend und sei auch nicht ersichtlich.</w:t>
      </w:r>
    </w:p>
    <w:p>
      <w:r>
        <w:t>Mit Beschwerde vom 25. November 2018 (Postaufgabe) ist der Beschwerdeführer an das Bundesgericht gelangt.</w:t>
      </w:r>
    </w:p>
    <w:p>
      <w:r>
        <w:rPr>
          <w:b/>
        </w:rPr>
        <w:t>E. 2</w:t>
      </w:r>
    </w:p>
    <w:p>
      <w:r>
        <w:t>Aufgrund des tiefen Streitwerts (Art. 51 Abs. 1 lit. c i.V.m.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Die angefochtene Verfügung ist ein Zwischenentscheid nach Art. 117 i.V.m. Art. 93 BGG , weshalb die Beschwerde nur eingeschränkt zulässig ist. Wie es sich damit vorliegend verhält, kann angesichts der nachfolgenden Erwägungen offen bleiben.</w:t>
      </w:r>
    </w:p>
    <w:p>
      <w:r>
        <w:rPr>
          <w:b/>
        </w:rPr>
        <w:t>E. 3</w:t>
      </w:r>
    </w:p>
    <w:p>
      <w:r>
        <w:t>Der Beschwerdeführer nennt keine konkreten verfassungsmässigen Rechte, die durch die obergerichtliche Verfügung verletzt worden sein sollen. Der allgemeine Verweis auf EMRK, Verfassung und Persönlichkeitsrechte genügt den Rügeanforderungen nicht. Das Bundesgericht ist entgegen seiner Auffassung im Rahmen einer subsidiären Verfassungsbeschwerde nicht gehalten, das Recht von Amtes wegen anzuwenden, sondern schreitet nur bei genügenden Rügen ein (oben E. 2). Der Beschwerdeführer macht zwar geltend, er könne die in Betreibung gesetzte Forderung nicht zahlen und es würde ein Verlustschein entstehen. Dies sei dem Obergericht bekannt. Durch das Fortsetzungsverfahren würde ihm Schmach zugefügt und auch seine Familie würde leiden. Dass die Gefahr der Ausstellung eines Verlustscheins dem Obergericht bekannt sein soll, belegt er jedoch nicht. Dazu wären genaue Aktenhinweise erforderlich. Weder für den Fall, dass er dem Obergericht vorwerfen will, seine Argumente übergangen zu haben, noch für den Fall, dass er ihm vorwerfen will, seine Argumente falsch beurteilt zu haben, legt er im Einzelnen die Verletzung verfassungsmässiger Rechte dar.</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des Beschwerdeführers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