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18/2017 vom 6. Juni 2017</w:t>
      </w:r>
    </w:p>
    <w:p>
      <w:r>
        <w:t>Bundesgericht, 2017-06-06, DE</w:t>
      </w:r>
    </w:p>
    <w:p>
      <w:r>
        <w:rPr>
          <w:b/>
        </w:rPr>
        <w:t xml:space="preserve">Quelle: </w:t>
      </w:r>
      <w:r>
        <w:t>https://mcp.opencaselaw.ch/entscheid/bger_5D_18_2017</w:t>
      </w:r>
    </w:p>
    <w:p>
      <w:r>
        <w:t>FR: TF 5D 18/2017 du 6 juin 2017</w:t>
      </w:r>
    </w:p>
    <w:p>
      <w:r>
        <w:t>IT: TF 5D 18/2017 del 6 giugno 2017</w:t>
      </w:r>
    </w:p>
    <w:p>
      <w:pPr>
        <w:pStyle w:val="Heading2"/>
      </w:pPr>
      <w:r>
        <w:t>Regeste</w:t>
      </w:r>
    </w:p>
    <w:p>
      <w:r>
        <w:t>Bestreitung neuen Vermögens | Schuldbetreibungs- und Konkursrecht</w:t>
      </w:r>
    </w:p>
    <w:p>
      <w:pPr>
        <w:pStyle w:val="Heading2"/>
      </w:pPr>
      <w:r>
        <w:t>Erwägungen</w:t>
      </w:r>
    </w:p>
    <w:p>
      <w:r>
        <w:rPr>
          <w:b/>
        </w:rPr>
        <w:t>E. 1</w:t>
      </w:r>
    </w:p>
    <w:p>
      <w:r>
        <w:t>Angefochten ist binnen Frist ( Art. 100 Abs. 1 BGG ) ein kantonal letztinstanzlicher Endentscheid ( Art. 75 Abs. 1 und Art. 90 BGG ) in einer Schuldbetreibungs- und Konkurssache ( Art. 72 Abs. 2 lit. a BGG ) mit Vermögenswert (Urteil 5A_283/2007 vom 15. November 2007 E. 1.2, in: Pra 2008 Nr. 57 S. 380). Da der Streitwert den für die Beschwerde in Zivilsachen erforderlichen gesetzlichen Mindestbetrag von Fr. 30'000.-- ( Art. 74 Abs. 1 lit. b BGG ) nicht erreicht und keine Ausnahme vom Streitwerterfordernis gemäss Art. 74 Abs. 2 BGG vorliegt, steht einzig die subsidiäre Verfassungsbeschwerde gemäss Art. 113 ff. BGG offen.</w:t>
      </w:r>
    </w:p>
    <w:p>
      <w:r>
        <w:rPr>
          <w:b/>
        </w:rPr>
        <w:t>E. 2</w:t>
      </w:r>
    </w:p>
    <w:p>
      <w:r>
        <w:t>Mit der Verfassungsbeschwerde kann nur die Verletzung von verfassungsmässigen Rechten gerügt werden ( Art. 116 BGG ). Hierfür gilt das strenge Rügeprinzip (Art. 117 i.V.m. Art. 106 Abs. 2 BGG ). Es ist anhand der Erwägungen des kantonalen Entscheids klar und detailliert darzulegen, welche verfassungsmässigen Rechte inwiefern durch den angefochtenen Entscheid verletzt worden sind ( BGE 133 II 396 E. 3.2 S. 399).</w:t>
      </w:r>
    </w:p>
    <w:p>
      <w:r>
        <w:rPr>
          <w:b/>
        </w:rPr>
        <w:t>E. 3</w:t>
      </w:r>
    </w:p>
    <w:p>
      <w:r>
        <w:t>Das Obergericht hat zusammengefasst erwogen, der Beschwerdeführer habe es im bezirksgerichtlichen Verfahren unterlassen, seine Lebenshaltungskosten rechtsgenügend nachzuweisen. Dass Krankenkassenprämien, Arztkosten, Wohnkosten und Steuern vom Bezirksgericht nicht berücksichtigt worden seien, sei korrekt, denn der Kläger habe diese Kosten im bezirksgerichtlichen Verfahren für den massgeblichen Zeitraum nicht belegt, d.h. nicht nachgewiesen. Dies, obschon er vom Bezirksgericht mehrfach darauf hingewiesen worden sei, dass Belege zu seinem Bedarf fehlen würden.</w:t>
      </w:r>
    </w:p>
    <w:p>
      <w:r>
        <w:rPr>
          <w:b/>
        </w:rPr>
        <w:t>E. 4</w:t>
      </w:r>
    </w:p>
    <w:p>
      <w:r>
        <w:t>Der Beschwerdeführer geht in seiner Eingabe nicht auf die den Entscheid tragenden vorinstanzlichen Erwägungen ein und zeigt damit nicht den aufgezeigten Begründungsanforderungen entsprechend auf, inwiefern das Obergericht seine verfassungsmässigen Rechte verletzt haben soll. Zu seinem Antrag, den Rechtsvorschlag mangels neuen Vermögens zu bewilligen, findet sich keine Begründung. Von vornherein unzulässig ist die Verfassungsbeschwerde, soweit der Beschwerdeführer den Bestand der Forderung bestreitet, weil diese Frage weder Gegenstand des kantonalen Verfahrens bildete noch Gegenstand des bundesgerichtlichen Verfahrens sein kann.</w:t>
      </w:r>
    </w:p>
    <w:p>
      <w:r>
        <w:rPr>
          <w:b/>
        </w:rPr>
        <w:t>E. 5</w:t>
      </w:r>
    </w:p>
    <w:p>
      <w:r>
        <w:t>Nach dem Gesagten ist der Beschwerde kein Erfolg beschieden. Bei diesem Ausgang des Verfahrens wird der Beschwerdeführer kostenpflichtig ( Art. 66 Abs. 1 BGG ). Eine Parteientschädigung ist nicht zu bezahlen, da keine Vernehmlassungen eingeholt worden sind und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