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5D_18/2009 vom 7. Mai 2009</w:t>
      </w:r>
    </w:p>
    <w:p>
      <w:r>
        <w:t>Bundesgericht, 2009-05-07, FR</w:t>
      </w:r>
    </w:p>
    <w:p>
      <w:r>
        <w:rPr>
          <w:b/>
        </w:rPr>
        <w:t xml:space="preserve">Quelle: </w:t>
      </w:r>
      <w:r>
        <w:t>https://mcp.opencaselaw.ch/entscheid/bger_5D_18_2009</w:t>
      </w:r>
    </w:p>
    <w:p>
      <w:r>
        <w:t>FR: TF 5D_18/2009 du 7 mai 2009</w:t>
      </w:r>
    </w:p>
    <w:p>
      <w:r>
        <w:t>IT: TF 5D_18/2009 del 7 maggio 2009</w:t>
      </w:r>
    </w:p>
    <w:p>
      <w:pPr>
        <w:pStyle w:val="Heading2"/>
      </w:pPr>
      <w:r>
        <w:t>Erwägungen</w:t>
      </w:r>
    </w:p>
    <w:p>
      <w:r>
        <w:rPr>
          <w:b/>
        </w:rPr>
        <w:t>E. 1</w:t>
      </w:r>
    </w:p>
    <w:p>
      <w:r>
        <w:t>Selon la jurisprudence ( ATF 134 III 115 consid. 1.1, 141 consid. 2), la décision rendue en matière de mainlevée - définitive ou provisoire - de l'opposition est une décision finale au sens de l' art. 90 LTF puisqu'elle met fin à l'instance; elle peut faire l'objet du recours en matière civile ( art. 72 al. 2 let. a LTF ) lorsque la valeur litigieuse atteint au moins 30'000 fr. ( art. 74 al. 1 let. b LTF ; ATF 133 III 399 consid. 1.3 p. 399/400) ou, exceptionnellement et pour autant que cela soit démontré ( art. 42 al. 2 LTF ), lorsqu'elle soulève une question juridique de principe ( art. 74 al. 2 let. a LTF ). Ces deux conditions n'étant pas remplies, c'est à juste titre que la recourante à choisi la voie du recours constitutionnel subsidiaire ( art. 113 LTF ).</w:t>
      </w:r>
    </w:p>
    <w:p>
      <w:r>
        <w:t>Déposé en temps utile ( art. 117 et 100 al. 1 LTF ) et dans les formes prévues par la loi ( art. 42 LTF ), pour violation de l'interdiction de l'arbitraire au sens de l' art. 9 Cst. ( art. 116 LTF ), à l'encontre d'une décision prise par un tribunal supérieur statuant en dernière instance cantonale ( art. 114 et 75 LTF ), le recours est recevable en principe.</w:t>
      </w:r>
    </w:p>
    <w:p>
      <w:r>
        <w:rPr>
          <w:b/>
        </w:rPr>
        <w:t>E. 2</w:t>
      </w:r>
    </w:p>
    <w:p>
      <w:r>
        <w:t>Lorsqu'il admet un recours constitutionnel, le Tribunal fédéral peut statuer lui-même sur le fond (art. 107 al. 2 par renvoi de 117 LTF) et donc prononcer la mainlevée de l'opposition, s'il dispose de tous les faits nécessaires; en effet, contrairement à l'ancien recours de droit public, ni le recours en matière civile ni le recours constitutionnel ne sont purement cassatoires (FF 2001, p. 4143).</w:t>
      </w:r>
    </w:p>
    <w:p>
      <w:r>
        <w:rPr>
          <w:b/>
        </w:rPr>
        <w:t>E. 3</w:t>
      </w:r>
    </w:p>
    <w:p>
      <w:r>
        <w:t>Une décision est arbitraire au sens de l' art. 9 Cst. notamment lorsqu'elle est manifestement insoutenable ou qu'elle méconnaît gravement une norme ou un principe juridique clair et indiscuté ( ATF 131 I 57 consid. 2; 129 I 8 consid. 2.1).</w:t>
      </w:r>
    </w:p>
    <w:p>
      <w:r>
        <w:rPr>
          <w:b/>
        </w:rPr>
        <w:t>E. 3.1</w:t>
      </w:r>
    </w:p>
    <w:p>
      <w:r>
        <w:t>L'opposition n'est soumise à aucune forme spéciale. Elle peut être orale ou écrite. L'opposition écrite s'opère soit par lettre adressée à l'office des poursuites, soit par simple mention directe sur le commandement de payer ou par une déclaration à l'agent notificateur qui reproduit la déclaration dans le procès-verbal de notification ( art. 74 al. 1 LP ; Form. 3; P.-R. GILLIÉRON, Poursuite pour dettes, faillite et concordat, 4e éd. 2005, n. 674; BALTHASAR BESSENICH, Kommentar zum Bundesgesetz über Schuldbetreibung und Konkurs, n. 13 s. ad art. 74 LP ). Si le débiteur déclare son opposition au moment de la notification, son opposition est donc consignée sur chaque exemplaire du commandement de payer et le fonctionnaire qui procède à la notification en donne acte en apposant sa signature. Dans cette hypothèse, la loi n'exige pas que le débiteur appose également sa signature.</w:t>
      </w:r>
    </w:p>
    <w:p>
      <w:r>
        <w:t>C'est ce cas de figure qui s'est produit en l'espèce, ainsi que cela ressort clairement de l'exemplaire du commandement de payer versé au dossier, qui ne comporte pas de mention directe de la débitrice, mais uniquement la signature de l'agent notificateur donnant acte de la déclaration d'opposition de celle-ci lors de la notification du 6 juin 2008, la seconde signature figurant sous la rubrique « opposition » étant celle apposée par le préposé le 13 juin 2008 pour l'envoi à la créancière de l'exemplaire qui lui était destiné.</w:t>
      </w:r>
    </w:p>
    <w:p>
      <w:r>
        <w:rPr>
          <w:b/>
        </w:rPr>
        <w:t>E. 3.2</w:t>
      </w:r>
    </w:p>
    <w:p>
      <w:r>
        <w:t>Au vu de ce qui précède, c'est à juste titre que la recourante reproche à la cour cantonale d'avoir comparé et confondu deux signatures qui, par la force des choses, ne pouvaient qu'être dissemblables, celle de la débitrice apposée sur le document du 9 mars 2007 et celle de l'agent notificateur figurant sous la rubrique « opposition » du commandement de payer.</w:t>
      </w:r>
    </w:p>
    <w:p>
      <w:r>
        <w:t>La cour cantonale s'est fondée exclusivement sur cette dissemblance dans sa décision (consid. 3.2) et non pas, comme elle le prétend dans ses observations, « également et surtout » sur l'illisibilité de la signature figurant sur le document du 9 mars 2007, qu'elle a simplement évoquée « en fait » (consid. B in fine).</w:t>
      </w:r>
    </w:p>
    <w:p>
      <w:r>
        <w:t>En retenant que le document du 9 mars 2007 ne valait pas titre de mainlevée du fait - uniquement - de la dissemblance desdites signatures, la cour cantonale a donc rendu une décision manifestement insoutenable, partant arbitraire au sens de l' art. 9 Cst.</w:t>
      </w:r>
    </w:p>
    <w:p>
      <w:r>
        <w:rPr>
          <w:b/>
        </w:rPr>
        <w:t>E. 4</w:t>
      </w:r>
    </w:p>
    <w:p>
      <w:r>
        <w:t>Le recours doit par conséquent être admis et la décision attaquée annulée. Le Tribunal fédéral ne disposant pas de tous les faits nécessaires, la cause est renvoyée à la cour cantonale pour nouvelle décision dans le sens de ce qui précède.</w:t>
      </w:r>
    </w:p>
    <w:p>
      <w:r>
        <w:t>Les frais de l'instance fédérale doivent être mis à la charge de l'intimée, qui succombe ( art. 66 al. 1 LTF ).</w:t>
      </w:r>
    </w:p>
    <w:p>
      <w:r>
        <w:t>Ayant agi sans le concours d'un avocat, la recourante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