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189/2021 vom 20. Oktober 2021</w:t>
      </w:r>
    </w:p>
    <w:p>
      <w:r>
        <w:t>Bundesgericht, 2021-10-20, DE</w:t>
      </w:r>
    </w:p>
    <w:p>
      <w:r>
        <w:rPr>
          <w:b/>
        </w:rPr>
        <w:t xml:space="preserve">Quelle: </w:t>
      </w:r>
      <w:r>
        <w:t>https://mcp.opencaselaw.ch/entscheid/bger_5D_189_2021</w:t>
      </w:r>
    </w:p>
    <w:p>
      <w:r>
        <w:t>FR: TF 5D 189/2021 du 20 octobre 2021</w:t>
      </w:r>
    </w:p>
    <w:p>
      <w:r>
        <w:t>IT: TF 5D 189/2021 del 20 ottobre 2021</w:t>
      </w:r>
    </w:p>
    <w:p>
      <w:pPr>
        <w:pStyle w:val="Heading2"/>
      </w:pPr>
      <w:r>
        <w:t>Regeste</w:t>
      </w:r>
    </w:p>
    <w:p>
      <w:r>
        <w:t>Definitive Rechtsöffnung | Schuldbetreibungs- und Konkursrecht</w:t>
      </w:r>
    </w:p>
    <w:p>
      <w:pPr>
        <w:pStyle w:val="Heading2"/>
      </w:pPr>
      <w:r>
        <w:t>Erwägungen</w:t>
      </w:r>
    </w:p>
    <w:p>
      <w:r>
        <w:rPr>
          <w:b/>
        </w:rPr>
        <w:t>E. 1</w:t>
      </w:r>
    </w:p>
    <w:p>
      <w:r>
        <w:t>Mit Entscheid vom 22. April 2021 erteilte das Bezirksgericht Zofingen dem Beschwerdegegner gegenüber dem Beschwerdeführer in der Betreibung Nr. xxx des Betreibungsamtes U.________ die definitive Rechtsöffnung für Fr. 1'811.65. Dagegen erhob der Beschwerdeführer am 26. Mai 2021 Beschwerde. Mit Entscheid vom 30. August 2021 wies das Obergericht des Kantons Aargau die Beschwerde ab. Dagegen hat der Beschwerdeführer am 6. Oktober 2021 Beschwerde an das Obergericht erhoben. Das Obergericht hat die Eingabe samt den Akten dem Bundesgericht übermittelt ( Art. 48 Abs. 3 BGG ). Mit Verfügung vom 11. Oktober 2021 hat das Bundesgericht das Gesuch um Aufschiebung der Vollstreckbarkeit abgewiesen.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legt nicht dar, inwiefern der angefochtene Entscheid gegen verfassungsmässige Rechte verstossen soll. Er macht bloss geltend, er werde widerrechtlich doppelt quellenbesteuert, und wiederholt seinen Standpunkt, die Quellensteuer sei bereits bezahlt und sein Kind sei nicht berücksichtigt worden. Er setzt sich nicht mit der obergerichtlichen Erwägung auseinander, dass auf materielle Einwendungen gegen die rechtskräftige Quellensteuerabrechnung im Rechtsöffnungsverfahren nicht eingegangen werden könne.</w:t>
      </w:r>
    </w:p>
    <w:p>
      <w:r>
        <w:rPr>
          <w:b/>
        </w:rPr>
        <w:t>E. 4</w:t>
      </w:r>
    </w:p>
    <w:p>
      <w:r>
        <w:t>Der Beschwerdeführer verlangt ausserdem vom Bezirksgericht Zofingen gestützt auf Art. 239 Abs. 2 ZPO die schriftliche Begründung eines nicht näher spezifizierten Entscheids. Nach Auskunft des Bezirksgerichts befindet sich kein Verfahren, an welchem der Beschwerdeführer beteiligt ist, im entsprechenden Stadium. Auf eine Weiterleitung der Eingabe kann demnach verzichtet werden.</w:t>
      </w:r>
    </w:p>
    <w:p>
      <w:r>
        <w:rPr>
          <w:b/>
        </w:rPr>
        <w:t>E. 5</w:t>
      </w:r>
    </w:p>
    <w:p>
      <w:r>
        <w:t>Die Beschwerde enthält offensichtlich keine hinreichende Begründung. Auf sie ist im vereinfachten Verfahren durch das präsidierende Mitglied der Abteilung nicht einzutreten (Art. 117 i.V.m. Art. 108 Abs. 1 lit. b BGG ).</w:t>
      </w:r>
    </w:p>
    <w:p>
      <w:r>
        <w:rPr>
          <w:b/>
        </w:rPr>
        <w:t>E. 6</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