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5D_187/2023 vom 11. Oktober 2023</w:t>
      </w:r>
    </w:p>
    <w:p>
      <w:r>
        <w:t>Bundesgericht, 2023-10-11, DE</w:t>
      </w:r>
    </w:p>
    <w:p>
      <w:r>
        <w:rPr>
          <w:b/>
        </w:rPr>
        <w:t xml:space="preserve">Quelle: </w:t>
      </w:r>
      <w:r>
        <w:t>https://mcp.opencaselaw.ch/entscheid/bger_5D_187_2023</w:t>
      </w:r>
    </w:p>
    <w:p>
      <w:r>
        <w:t>FR: TF 5D_187/2023 du 11 octobre 2023</w:t>
      </w:r>
    </w:p>
    <w:p>
      <w:r>
        <w:t>IT: TF 5D_187/2023 del 11 ottobre 2023</w:t>
      </w:r>
    </w:p>
    <w:p>
      <w:pPr>
        <w:pStyle w:val="Heading2"/>
      </w:pPr>
      <w:r>
        <w:t>Erwägungen</w:t>
      </w:r>
    </w:p>
    <w:p>
      <w:r>
        <w:rPr>
          <w:b/>
        </w:rPr>
        <w:t>E. 1</w:t>
      </w:r>
    </w:p>
    <w:p>
      <w:r>
        <w:t>Der Streitwert beträgt weniger als Fr. 30'000.--, weshalb nicht die Beschwerde in Zivilsachen, sondern die subsidiäre Verfassungsbeschwerde zur Verfügung steht ( Art. 72 Abs. 2 lit. a, Art. 74 Abs. 1 lit. b und Art. 113 BGG ). Mit dieser kann einzig die Verletzung verfassungsmässiger Rechte gerügt werden ( Art. 116 BGG ), wofür das strenge Rügeprinzip gilt (Art. 106 Abs. 2 i.V.m. Art. 117 BGG ).</w:t>
      </w:r>
    </w:p>
    <w:p>
      <w:r>
        <w:rPr>
          <w:b/>
        </w:rPr>
        <w:t>E. 2</w:t>
      </w:r>
    </w:p>
    <w:p>
      <w:r>
        <w:t>Das Obergericht hat die Beschwerde, soweit es überhaupt darauf eingetreten ist, abgewiesen mit der Begründung, der Beschwerdeführer beklage sich über eine von Bürolistinnen mit Fake-Dokumenten errichtete niederträchtige Steuerveranlagung, obwohl diese im Verfahren der definitiven Rechtsöffnung nicht mehr geprüft werden könne, sondern Rügen gegen die Veranlagung im Rechtsmittelverfahren gegen den Einschätzungsentscheid bzw. die Schlussrechnung hätten vorgebracht werden müssen.</w:t>
      </w:r>
    </w:p>
    <w:p>
      <w:r>
        <w:rPr>
          <w:b/>
        </w:rPr>
        <w:t>E. 3</w:t>
      </w:r>
    </w:p>
    <w:p>
      <w:r>
        <w:t>Inwiefern mit dieser Entscheidbegründung verfassungsmässige Rechte verletzt sein sollen, legt der Beschwerdeführer mit keinem Wort dar. Vielmehr beklagt er sich ausführlich über seine zunehmenden gesundheitlichen Probleme, welche ihm kaum noch ein Leben liessen und horrende Kosten verursachten, und macht im Übrigen erneut geltend, dass ihn Bürolistinnen in niederträchtiger Weise falsch veranlagt hätten. Diese Vorbringen stünden selbst bei voller Kognition, d.h. wenn nicht bloss Verfassungsverletzungen vorgebracht werden könnten, ausserhalb der im Verfahren der definitiven Rechtsöffnung möglichen Einwendungen gemäss Art. 81 Abs. 1 SchKG .</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Für das bundesgerichtliche Verfahren scheint kein Gesuch um unentgeltliche Rechtspflege gestellt zu sein. Ohnehin könnte einem solchen kein Erfolg beschieden sein, weil die Beschwerde von Anfang an aussichtslos war und es deshalb an den materiellen Voraussetzungen für die unentgeltliche Rechtspflege fehlen würde ( Art. 64 Abs. 1 BGG ).</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