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5D_184/2020 vom 3. August 2020</w:t>
      </w:r>
    </w:p>
    <w:p>
      <w:r>
        <w:t>Bundesgericht, 2020-08-03, DE</w:t>
      </w:r>
    </w:p>
    <w:p>
      <w:r>
        <w:rPr>
          <w:b/>
        </w:rPr>
        <w:t xml:space="preserve">Quelle: </w:t>
      </w:r>
      <w:r>
        <w:t>https://mcp.opencaselaw.ch/entscheid/bger_5D_184_2020</w:t>
      </w:r>
    </w:p>
    <w:p>
      <w:r>
        <w:t>FR: TF 5D_184/2020 du 3 août 2020</w:t>
      </w:r>
    </w:p>
    <w:p>
      <w:r>
        <w:t>IT: TF 5D_184/2020 del 3 agosto 2020</w:t>
      </w:r>
    </w:p>
    <w:p>
      <w:pPr>
        <w:pStyle w:val="Heading2"/>
      </w:pPr>
      <w:r>
        <w:t>Erwägungen</w:t>
      </w:r>
    </w:p>
    <w:p>
      <w:r>
        <w:rPr>
          <w:b/>
        </w:rPr>
        <w:t>E. 1</w:t>
      </w:r>
    </w:p>
    <w:p>
      <w:r>
        <w:t>Der Streitwert beträgt weniger als Fr. 30'000.--. Deshalb steht die Beschwerde in Zivilsachen, worauf in der Rechtsmittelbelehrung hingewiesen wird, nicht offen ( Art. 74 Abs. 1 lit. b BGG ), sondern nur die subsidiäre Verfassungsbeschwerde ( Art. 113 BGG ).</w:t>
      </w:r>
    </w:p>
    <w:p>
      <w:r>
        <w:t>Mit dieser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S. 246; 140 III 264 E. 2.3 S. 266; 142 III 364 E. 2.4 S. 368).</w:t>
      </w:r>
    </w:p>
    <w:p>
      <w:r>
        <w:rPr>
          <w:b/>
        </w:rPr>
        <w:t>E. 2</w:t>
      </w:r>
    </w:p>
    <w:p>
      <w:r>
        <w:t>Es werden weder der Form nach noch inhaltlich Verfassungsverletzungen geltend gemacht und es erfolgt auch nicht ansatzweise eine Auseinandersetzung mit den ausführlichen Erwägungen des angefochtenen Entscheides. Der Beschwerdeführer beschränkt sich darauf, in appellatorischer Weise die Grundlage der Unterhaltsforderung in Frage zu stellen und zu behaupten, die Gegenpartei habe im kantonalen Verfahren auf Nebenschauplätze abgelenkt.</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