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5D_183/2020 vom 4. August 2020</w:t>
      </w:r>
    </w:p>
    <w:p>
      <w:r>
        <w:t>Bundesgericht, 2020-08-04, DE</w:t>
      </w:r>
    </w:p>
    <w:p>
      <w:r>
        <w:rPr>
          <w:b/>
        </w:rPr>
        <w:t xml:space="preserve">Quelle: </w:t>
      </w:r>
      <w:r>
        <w:t>https://mcp.opencaselaw.ch/entscheid/bger_5D_183_2020</w:t>
      </w:r>
    </w:p>
    <w:p>
      <w:r>
        <w:t>FR: TF 5D_183/2020 du 4 août 2020</w:t>
      </w:r>
    </w:p>
    <w:p>
      <w:r>
        <w:t>IT: TF 5D_183/2020 del 4 agosto 2020</w:t>
      </w:r>
    </w:p>
    <w:p>
      <w:pPr>
        <w:pStyle w:val="Heading2"/>
      </w:pPr>
      <w:r>
        <w:t>Erwägungen</w:t>
      </w:r>
    </w:p>
    <w:p>
      <w:r>
        <w:rPr>
          <w:b/>
        </w:rPr>
        <w:t>E. 1</w:t>
      </w:r>
    </w:p>
    <w:p>
      <w:r>
        <w:t>Der Streitwert beträgt weniger als Fr. 30'000.--. Deshalb steht die Beschwerde in Zivilsachen, worauf in der Rechtsmittelbelehrung hingewiesen wird, nicht offen ( Art. 74 Abs. 1 lit. b BGG ), sondern nur die subsidiäre Verfassungsbeschwerde ( Art. 113 BGG ).</w:t>
      </w:r>
    </w:p>
    <w:p>
      <w:r>
        <w:t>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Es werden weder der Form nach noch inhaltlich Verfassungsverletzungen geltend gemacht und es erfolgt auch nicht ansatzweise eine Auseinandersetzung mit den ausführlichen Erwägungen des angefochtenen Entscheides. Vielmehr macht der Beschwerdeführer geltend, der Unterhaltsentscheid des Kantonsgerichtes Schaffhausen sei unter massiver Erpressung (Selbstmord und Morddrohung der Exfrau) und Behördenwillkür entstanden. Damit sind keine Verfassungsverletzungen im Zusammenhang mit den Nichteintretenserwägungen des angefochtenen Entscheides dargetan.</w:t>
      </w:r>
    </w:p>
    <w:p>
      <w:r>
        <w:t>Die weiteren Ausführungen (sein Hausarzt habe eine Fehldiagnose gestellt und die Unterbringung in der psychiatrischen Klinik im Jahr 2012 sei unberechtigt gewesen; Vorwürfe gegen die Polizei im Zusammenhang mit einer Hausdurchsuchung und gegen die Staatsanwaltschaft wegen Nichtanhandnahmeverfügungen u.ä.m.) stehen in keinem Zusammenhang mit dem Anfechtungsgegenstand und sind demnach von vornherein nicht zu hören.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