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5D_183/2019 vom 20. August 2019</w:t>
      </w:r>
    </w:p>
    <w:p>
      <w:r>
        <w:t>Bundesgericht, 2019-08-20, FR</w:t>
      </w:r>
    </w:p>
    <w:p>
      <w:r>
        <w:rPr>
          <w:b/>
        </w:rPr>
        <w:t xml:space="preserve">Quelle: </w:t>
      </w:r>
      <w:r>
        <w:t>https://mcp.opencaselaw.ch/entscheid/bger_5D_183_2019</w:t>
      </w:r>
    </w:p>
    <w:p>
      <w:r>
        <w:t>FR: TF 5D_183/2019 du 20 août 2019</w:t>
      </w:r>
    </w:p>
    <w:p>
      <w:r>
        <w:t>IT: TF 5D_183/2019 del 20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16 juillet 2019, la Juge suppléante des districts d'Hérens et Conthey a prononcé la mainlevée définitive de l'opposition formée par A.________ au commandement de payer qui lui a été notifié à la réquisition de B.________ (</w:t>
      </w:r>
    </w:p>
    <w:p>
      <w:r>
        <w:t>poursuite n° x'xxx'xxx de l'Office des poursuites et faillites du district de Conthey ) : Elle a considéré que la poursuivante avait produit un jugement exécutoire du 2 avril 2019, condamnant le poursuivi à verser les sommes de 11'000 fr. (indemnité de dépens) et de 540 fr. (remboursement d'avances), qui valait titre de mainlevée définitive; les prétentions opposées en compensation par le poursuivi (8'252 fr. 10 [frais d'assurance-bâtiment] et 8738 fr. [arriérés d'allocations de formation]) ne pouvaient être prises en considération, à défaut de reposer sur un jugement exécutoire ou d'être reconnues par la poursuivante.</w:t>
      </w:r>
    </w:p>
    <w:p>
      <w:r>
        <w:rPr>
          <w:b/>
        </w:rPr>
        <w:t>E. 2</w:t>
      </w:r>
    </w:p>
    <w:p>
      <w:r>
        <w:t>Par décision du 20 août 2019, la Chambre civile du Tribunal cantonal du Valais (Juge unique) a rejeté le recours du poursuivi. Elle a constaté que la transaction judiciaire passée le 6 juin 2014 dans le cadre d'une procédure matrimoniale, prévoyait que le "</w:t>
      </w:r>
    </w:p>
    <w:p>
      <w:r>
        <w:t>droit de garde " sur l'enfant était attribué au poursuivi, mais était totalement muette au sujet d'une éventuelle contribution d'entretien à verser par la poursuivante et ne prévoyait rien non plus quant au parent à qui devaient être versées les allocations familiales. Quant à la seconde créance, le poursuivi affirme certes avoir réglé les "</w:t>
      </w:r>
    </w:p>
    <w:p>
      <w:r>
        <w:t>frais courants d'assurance du bâtiment ", mais il ne s'attache pas à démontrer sur quelle pièce il se fonde; l'envoi à sa partie adverse d'un document intitulé "</w:t>
      </w:r>
    </w:p>
    <w:p>
      <w:r>
        <w:t>reconnaissance de dette ", qui récapitule les sommes qui lui seraient dues, ne constitue pas un titre exécutoire, d'autant qu'elle n'est pas signée par l'intéressée.</w:t>
      </w:r>
    </w:p>
    <w:p>
      <w:r>
        <w:rPr>
          <w:b/>
        </w:rPr>
        <w:t>E. 3</w:t>
      </w:r>
    </w:p>
    <w:p>
      <w:r>
        <w:t>Par acte expédié le 20 septembre 2019, le poursuivi exerce un recours au Tribunal fédéral contre la décision cantonale; il conclut au renvoi de l'affaire à l'autorité précédente "</w:t>
      </w:r>
    </w:p>
    <w:p>
      <w:r>
        <w:t>pour réexamen ".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ouvert en l'occurrence ( art. 113 LTF ).</w:t>
      </w:r>
    </w:p>
    <w:p>
      <w:r>
        <w:rPr>
          <w:b/>
        </w:rPr>
        <w:t>E. 5</w:t>
      </w:r>
    </w:p>
    <w:p>
      <w:r>
        <w:t>En l'espèce, le présent recours ne comporte aucune critique de nature constitutionnelle - seul moyen recevable ici ( art. 116 LTF ) - tendant à démontrer que la décision entreprise reposerait sur une application de la loi ou un établissement des faits manifestement insoutenables; en particulier, le recourant n'expose pas que la juridiction cantonale aurait appliqué de façon arbitraire les conditions relatives à l'admissibilité de la compensation en procédure de mainlevée définitive ( ATF 136 III 624 consid. 4.2.1 et les arrêts cités). Faute d'être motivé conformément aux exigences légales, le recours doit être écarté d'emblée ( art. 106 al. 2 et 117 LTF ; ATF 136 I 332 consid. 2.1 et les citations).</w:t>
      </w:r>
    </w:p>
    <w:p>
      <w:r>
        <w:rPr>
          <w:b/>
        </w:rPr>
        <w:t>E. 6</w:t>
      </w:r>
    </w:p>
    <w:p>
      <w:r>
        <w:t>En conclusion, le présent recours doit être déclaré irrecevable par voie de procédure simplifiée ( art. 108 al. 1 let . bet 117 LTF),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