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5D_182/2020 vom 6. August 2020</w:t>
      </w:r>
    </w:p>
    <w:p>
      <w:r>
        <w:t>Bundesgericht, 2020-08-06, DE</w:t>
      </w:r>
    </w:p>
    <w:p>
      <w:r>
        <w:rPr>
          <w:b/>
        </w:rPr>
        <w:t xml:space="preserve">Quelle: </w:t>
      </w:r>
      <w:r>
        <w:t>https://mcp.opencaselaw.ch/entscheid/bger_5D_182_2020</w:t>
      </w:r>
    </w:p>
    <w:p>
      <w:r>
        <w:t>FR: TF 5D_182/2020 du 6 août 2020</w:t>
      </w:r>
    </w:p>
    <w:p>
      <w:r>
        <w:t>IT: TF 5D_182/2020 del 6 agosto 2020</w:t>
      </w:r>
    </w:p>
    <w:p>
      <w:pPr>
        <w:pStyle w:val="Heading2"/>
      </w:pPr>
      <w:r>
        <w:t>Erwägungen</w:t>
      </w:r>
    </w:p>
    <w:p>
      <w:r>
        <w:rPr>
          <w:b/>
        </w:rPr>
        <w:t>E. 1</w:t>
      </w:r>
    </w:p>
    <w:p>
      <w:r>
        <w:t>Der Streitwert beträgt weniger als Fr. 30'000.--. Deshalb steht die Beschwerde in Zivilsachen, worauf in der Rechtsmittelbelehrung hingewiesen wird, nicht offen ( Art. 74 Abs. 1 lit. b BGG ), sondern nur die subsidiäre Verfassungsbeschwerde ( Art. 113 BGG ).</w:t>
      </w:r>
    </w:p>
    <w:p>
      <w:r>
        <w:t>Mit dieser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S. 246; 140 III 264 E. 2.3 S. 266; 142 III 364 E. 2.4 S. 368).</w:t>
      </w:r>
    </w:p>
    <w:p>
      <w:r>
        <w:rPr>
          <w:b/>
        </w:rPr>
        <w:t>E. 2</w:t>
      </w:r>
    </w:p>
    <w:p>
      <w:r>
        <w:t>Es werden weder der Form nach noch inhaltlich Verfassungsverletzungen geltend gemacht. Vielmehr besteht die Beschwerde aus einem polemisierenden Rundumschlag und dem Vorwurf, das Obergericht habe sich mit seinen Vorbringen nicht befasst; dies ist aber zwangsläufige Folge des Nichteintretens. Ferner wird in appellatorischer und pauschaler Weise eine Verletzung des Epidemiegesetzes und der Covid-19-Verordnung sowie eine Verunfallung mit Kopfverletzung behauptet, ohne dass jedoch ein Zusammenhang mit dem Rechtsöffnungsverfahren hergestellt würde.</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