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5D_182/2015 vom 2. Februar 2016</w:t>
      </w:r>
    </w:p>
    <w:p>
      <w:r>
        <w:t>Bundesgericht, 2016-02-02, DE</w:t>
      </w:r>
    </w:p>
    <w:p>
      <w:r>
        <w:rPr>
          <w:b/>
        </w:rPr>
        <w:t xml:space="preserve">Quelle: </w:t>
      </w:r>
      <w:r>
        <w:t>https://mcp.opencaselaw.ch/entscheid/bger_5D_182_2015</w:t>
      </w:r>
    </w:p>
    <w:p>
      <w:r>
        <w:t>FR: TF 5D_182/2015 du 2 février 2016</w:t>
      </w:r>
    </w:p>
    <w:p>
      <w:r>
        <w:t>IT: TF 5D_182/2015 del 2 febbraio 2016</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binnen Frist ein kantonal letztinstanzlicher Beschluss, mit dem auf eine Beschwerde gegen eine prozessleitende Verfügung betreffend die Verweigerung der Sistierung des Hauptverfahrens nicht eingetreten wurde ( Art. 75, Art. 100 Abs. 1 BGG ). In der Begrifflichkeit des BGG handelt es sich beim angefochtenen Entscheid um einen Zwischenentscheid im Sinne von Art. 93 Abs. 1 BGG (vgl. BGE 137 III 380 E. 1.1 S. 381 f.). Bei Zwischenentscheiden folgt der Rechtsweg jenem der Hauptsache. In dieser geht es um eine provisorische Rechtsöffnung gestützt auf einen Pfändungsverlustschein und damit eine Schuldbetreibungs- und Konkurssache ( Art. 72 Abs. 2 lit. a BGG ). Der für die Beschwerde in Zivilsachen erforderliche Streitwert von Fr. 30'000.-- ( Art. 74 Abs. 1 lit. b BGG ) ist nicht erreicht und eine Rechtsfrage von grundsätzlicher Bedeutung ist weder dargetan noch ersichtlich. Die Eingabe ist damit als subsidiäre Verfassungsbeschwerde ( Art. 113 ff. BGG ) entgegenzunehmen. Allerdings ist die Verfassungsbeschwerde gegen solche Entscheide - vom hier nicht interessierenden Fall des Art. 117 i.V.m. Art. 93 Abs. 1 lit. b BGG abgesehen - nur zulässig, wenn sie einen nicht wieder gutzumachenden Nachteil bewirken können (Art. 117 i.V.m. Art. 93 Abs. 1 lit. a BGG ).</w:t>
      </w:r>
    </w:p>
    <w:p>
      <w:r>
        <w:rPr>
          <w:b/>
        </w:rPr>
        <w:t>E. 1.2</w:t>
      </w:r>
    </w:p>
    <w:p>
      <w:r>
        <w:t>Nach konstanter Rechtsprechung des Bundesgerichts muss der Nachteil rechtlicher Natur sein und darf somit auch mit einem für den Beschwerdeführer günstigen Endentscheid nicht oder nicht vollständig behebbar sein ( BGE 134 III 188 E. 2.1 S. 190; 133 III 629 E. 2.3.1 S. 632; je mit Hinweisen). Rein tatsächliche Nachteile wie die Verlängerung oder Verteuerung des Verfahrens genügen demgegenüber nicht ( BGE 134 III 188 E. 2.2 S. 191; 133 III 629 E. 2.3.1 S. 632 mit Hinweisen). Diese Voraussetzung bezieht sich auf den erstinstanzlichen Entscheid und nicht auf den Nichteintretensentscheid der oberen Instanz ( BGE 141 III 80 E. 1.2 S. 80 f.). Die selbständige Anfechtbarkeit von Zwischenentscheiden bildet aus prozessökonomischen Gründen eine Ausnahme vom Grundsatz, dass sich das Bundesgericht mit jeder Angelegenheit nur einmal befassen soll. Die Ausnahme ist restriktiv zu handhaben ( BGE 138 III 94 E. 2.2 S. 95 ; 135 I 261 E. 1.2 S. 263; 134 III 188 E. 2.2 S. 191; 133 III 629 E. 2.1 S. 631). Dabei obliegt es dem Beschwerdeführer, die Möglichkeit eines rechtlichen Nachteils darzutun, falls diese nicht klar auf der Hand liegt ( BGE 133 III 629 E. 2.3.1 S. 632 mit Hinweis).</w:t>
      </w:r>
    </w:p>
    <w:p>
      <w:r>
        <w:rPr>
          <w:b/>
        </w:rPr>
        <w:t>E. 1.3</w:t>
      </w:r>
    </w:p>
    <w:p>
      <w:r>
        <w:t>Ein nicht wieder gutzumachender Nachteil im Sinne von Art. 93 Abs. 1 lit. a BGG ist vorliegend nicht ersichtlich und der Beschwerdeführer behauptet einen solchen auch nicht ausdrücklich. Selbst wenn seine Ausführungen zum angeblich verletzten Art. 319 lit. b Ziff. 2 ZPO sinngemäss herangezogen werden, ergibt sich kein anderes Resultat. Soweit sich der Beschwerdeführer darüber beschwert, zufolge Abweisung seines Sistierungsbegehrens bis zum Abschluss des anhängig gemachten Revisionsverfahrens gegen ein Urteil des Bezirksgerichts Lugano vom 8. März 2004 gleichzeitig mehrere Verfahren führen zu müssen, handelt es sich um einen rein faktischen Nachteil, welcher eine direkte Anfechtbarkeit nach Art. 93 Abs. 1 lit. a BGG nicht zu begründen vermag. Die Berufung des Beschwerdeführers auf seine Nichtteilnahme an der Hauptverhandlung ist ebenfalls unbehelflich, ist sie doch nicht kausal auf die Verweigerung der beantragten Sistierung zurückzuführen. Selbst wenn der Beschwerdeführer den Entscheid des Bezirksgerichts über das gestellte Sistierungsgesuch erst nach Beginn der Hauptverhandlung erhalten hätte, behielt die Vorladung - wie bereits die Vorinstanz zutreffend festgehalten hat - ihre Gültig-keit und bestand für den Beschwerdeführer deshalb kein Grund, von der Hauptverhandlung fernzubleiben. Im Übrigen stellt der Beschwerdeführer zu Recht nicht in Frage, dass die Verweigerung der Sistierung - anders als die Anordnung einer Sistierung (vgl. Art. 126 Abs. 2 i.V.m. Art. 319 lit. b Ziff. 1 ZPO ) - bereits auf kantonaler Ebene selbständig lediglich eingeschränkt, nämlich nu r im Rahmen von Art. 319 lit. b Ziff. 2 ZPO anfechtbar ist (MARTIN KAUFMANN, in: Schweizerische Zivilprozessordnung [ZPO], Kommentar, Brunner/Gasser/Schwander [Hrsg.], N. 17 zu Art. 126 ZPO ; ADRIAN STAEHELIN, in: Kommentar zur Schweizerischen Zivilprozessordnung [ZPO], Sutter-Somm/Hasenböhler/Leuenberger [Hrsg.], 2. Aufl. 2013, N. 8 zu Art. 126 ZPO ; NINA J. FREI, in: Berner Kommentar, Schweizerische Zivilprozessordnung Bd. I, 2012, N. 22 zu Art. 126 ZPO ; ROGER WEBER, in: ZPO, Oberhammer/Domej/Haas [Hrsg.], 2. Aufl. 2014, N. 14 zu Art. 126 ZPO ). Dies schliesst die Anfechtung zusammen mit dem Rechtsmittel gegen den Endentscheid jedoch nicht aus. Inwiefern ihm diesbezüglich bei nicht sofortiger Anfechtbarkeitein nicht wieder gutzumachender Nachteil rechtlicher Na tur im Sinne von Art. 93 Abs. 1 lit. a BGG dro hen würde (vgl. E. 1.2 hievor), legt der Beschwerdeführer nicht dar und ist auch nicht ersichtlich. Folglich kann auf die Beschwerde gegen den Zwischenentscheid nicht eingetreten werden.</w:t>
      </w:r>
    </w:p>
    <w:p>
      <w:r>
        <w:rPr>
          <w:b/>
        </w:rPr>
        <w:t>E. 2</w:t>
      </w:r>
    </w:p>
    <w:p>
      <w:r>
        <w:t>Von vorne herein über den Verfahrensgegenstand hinaus gehen die Ausführungen zur behaupteten Nichtigkeit des Urteils des Bezirksgerichts Lugano vom 8. März 2004. Auf das Hauptbegehren und die dazugehörigen Ausführungen ist folglich nicht einzutreten.</w:t>
      </w:r>
    </w:p>
    <w:p>
      <w:r>
        <w:rPr>
          <w:b/>
        </w:rPr>
        <w:t>E. 3</w:t>
      </w:r>
    </w:p>
    <w:p>
      <w:r>
        <w:t>Zufolge Nichteintretens sind die Gerichtskosten dem Beschwerdeführer aufzuerlegen ( Art. 66 Abs. 1 BGG ). Wie die vorstehenden Erwägungen aufzeigen, muss die Beschwerde als von Anfang an aussichtslos betrachtet werden. Damit mangelt es an einer materiellen Voraussetzung für die unentgeltliche Rechtspflege ( Art. 64 Abs. 1 BGG ). Das entsprechende Gesuch des Beschwerdeführers ist abzuweisen.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