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5D_180/2017 vom 29. September 2017</w:t>
      </w:r>
    </w:p>
    <w:p>
      <w:r>
        <w:t>Bundesgericht, 2017-09-29, DE</w:t>
      </w:r>
    </w:p>
    <w:p>
      <w:r>
        <w:rPr>
          <w:b/>
        </w:rPr>
        <w:t xml:space="preserve">Quelle: </w:t>
      </w:r>
      <w:r>
        <w:t>https://mcp.opencaselaw.ch/entscheid/bger_5D_180_2017</w:t>
      </w:r>
    </w:p>
    <w:p>
      <w:r>
        <w:t>FR: TF 5D_180/2017 du 29 septembre 2017</w:t>
      </w:r>
    </w:p>
    <w:p>
      <w:r>
        <w:t>IT: TF 5D_180/2017 del 29 settembre 2017</w:t>
      </w:r>
    </w:p>
    <w:p>
      <w:pPr>
        <w:pStyle w:val="Heading2"/>
      </w:pPr>
      <w:r>
        <w:t>Erwägungen</w:t>
      </w:r>
    </w:p>
    <w:p>
      <w:r>
        <w:rPr>
          <w:b/>
        </w:rPr>
        <w:t>E. 1</w:t>
      </w:r>
    </w:p>
    <w:p>
      <w:r>
        <w:t>Das Richteramt Olten-Gösgen erteilte dem Beschwerdegegner gegenüber dem Beschwerdeführer mit Urteil vom 20. Juni 2017 definitive Rechtsöffnung für die Staatssteuer 2015 zuzüglich Zinsen und Kosten.</w:t>
      </w:r>
    </w:p>
    <w:p>
      <w:r>
        <w:t>Dagegen erhob der Beschwerdeführer Beschwerde an das Obergericht des Kantons Solothurn. Das Obergericht wies die Beschwerde mit Urteil vom 30. August 2017 ab.</w:t>
      </w:r>
    </w:p>
    <w:p>
      <w:r>
        <w:t>Am 27. September 2017 hat der Beschwerdeführer gegen dieses Urteil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macht vor Bundesgericht einzig geltend, es mangle an einer Bescheinigung der Vollstreckbarkeit der als Rechtsöffnungstitel dienenden definitiven Veranlagung der Staatssteuer 2015.</w:t>
      </w:r>
    </w:p>
    <w:p>
      <w:r>
        <w:t>Gemäss den Feststellungen im angefochtenen Urteil hat der Beschwerdeführer vor Obergericht keinen entsprechenden Einwand erhoben. Seine Behauptung ist folglich neu und deshalb unzulässig ( Art. 99 Abs. 1 BGG ). Der Beschwerdeführer macht auch nicht geltend, dass das Obergericht einen solchen Einwand in verfassungswidriger Weise übergangen hätte. Aus dem angefochtenen Entscheid ergibt sich im Übrigen, dass eine Rechtskraftbescheinigung der definitiven Veranlagung der Staatssteuer 2015 vorliegt. Inwiefern es darüber hinaus noch eine Vollstreckbarkeitsbescheinigung brauchen würde, legt der Beschwerdeführer nicht dar. Im Übrigen setzt er sich mit dem angefochtenen Urteil nicht auseinander und er legt nicht dar, inwiefern verfassungsmässige Rechte verletzt worden sein sollen.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