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179/2015 vom 22. Oktober 2015</w:t>
      </w:r>
    </w:p>
    <w:p>
      <w:r>
        <w:t>Bundesgericht, 2015-10-22, DE</w:t>
      </w:r>
    </w:p>
    <w:p>
      <w:r>
        <w:rPr>
          <w:b/>
        </w:rPr>
        <w:t xml:space="preserve">Quelle: </w:t>
      </w:r>
      <w:r>
        <w:t>https://mcp.opencaselaw.ch/entscheid/bger_5D_179_2015</w:t>
      </w:r>
    </w:p>
    <w:p>
      <w:r>
        <w:t>FR: TF 5D 179/2015 du 22 octobre 2015</w:t>
      </w:r>
    </w:p>
    <w:p>
      <w:r>
        <w:t>IT: TF 5D 179/2015 del 22 ottobre 2015</w:t>
      </w:r>
    </w:p>
    <w:p>
      <w:pPr>
        <w:pStyle w:val="Heading2"/>
      </w:pPr>
      <w:r>
        <w:t>Regeste</w:t>
      </w:r>
    </w:p>
    <w:p>
      <w:r>
        <w:t>Bestreitung neuen Vermögens | Schuldbetreibungs- und Konkursrecht</w:t>
      </w:r>
    </w:p>
    <w:p>
      <w:pPr>
        <w:pStyle w:val="Heading2"/>
      </w:pPr>
      <w:r>
        <w:t>Erwägungen</w:t>
      </w:r>
    </w:p>
    <w:p>
      <w:r>
        <w:rPr>
          <w:b/>
        </w:rPr>
        <w:t>E. 1</w:t>
      </w:r>
    </w:p>
    <w:p>
      <w:r>
        <w:t>A.________ (Beschwerdeführer) hat am 19. Oktober 2015 beim Bundesgericht einen Beschluss des Obergerichts des Kantons Zürich (PP150026-O/U) vom 8. September 2015 angefochten, mit dem das Obergericht auf eine Beschwerde des Beschwerdeführers gegen eine Verfügung des Einzelgerichts für SchKG-Klagen des Bezirksgerichts Zürich vom 1. Juli 2015 nicht eingetreten ist und das Gesuch des Beschwerdeführers um unentgeltliche Rechtspflege abgewiesen hat. Er ersucht um aufschiebende Wirkung, um Wiederherstellung der Frist und um unentgeltliche Rechtspflege.</w:t>
      </w:r>
    </w:p>
    <w:p>
      <w:r>
        <w:rPr>
          <w:b/>
        </w:rPr>
        <w:t>E. 2.1</w:t>
      </w:r>
    </w:p>
    <w:p>
      <w:r>
        <w:t>Anfechtungsgegenstand der Beschwerde bildet ausschliesslich der Beschluss des Obergerichts des Kantons Zürich vom 8. September 2015. Soweit der Beschwerdeführer andere Entscheide anficht, ist darauf nicht einzutreten.</w:t>
      </w:r>
    </w:p>
    <w:p>
      <w:r>
        <w:rPr>
          <w:b/>
        </w:rPr>
        <w:t>E. 2.2</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2.3</w:t>
      </w:r>
    </w:p>
    <w:p>
      <w:r>
        <w:t>Das Obergericht hat erwogen, die Begründung des Beschwerdeführers beschränke sich auf das Vorbringen, unverschuldet keine weiteren Begründungen und Beweismittel beibringen zu können. Seine Rechtsmitteleingabe sei am letzten Tag der Frist beim Obergericht eingegangen. Als gesetzliche Rechtsmittelfrist sei sie nicht erstreckbar ( Art. 144 Abs. 1 ZPO ) und sei die Rechtsmitteleingabe somit abschliessend in Wahrung der Rechtsmittelfrist zu begründen. Zwar sei eine Fristwiederherstellung grundsätzlich möglich. Dazu müsse die säumige Partei indes innert 10 Tagen seit dem Wegfall des Säumnisgrundes ein entsprechendes Gesuch bei Gericht einreichen, wobei die Gründe der Wiederherstellung zu belegen und entsprechende Beweismittel einzureichen seien. Indem der Beschwerdeführer lediglich eine Strafanzeige betreffend Diebstahl u.a. beilege, aus der nicht im geringsten ersichtlich sei, inwiefern er mit der Person der Anzeigeerstatterin verbunden und durch den behaupteten Datenträgerdiebstahl tangiert sei, genüge er diesen Begründungsanforderungen nicht. Auch der Handelsregisterauszug der betroffenen C.________ AG gebe keinen Aufschluss über die mögliche Verbindung zum Beschwerdeführer. Zusammenfassend sei mangels Einhaltung der Begründungserfordernisse auf die Beschwerde nicht einzutreten.</w:t>
      </w:r>
    </w:p>
    <w:p>
      <w:r>
        <w:rPr>
          <w:b/>
        </w:rPr>
        <w:t>E. 2.4</w:t>
      </w:r>
    </w:p>
    <w:p>
      <w:r>
        <w:t>Der Beschwerdeführer geht in seiner Eingabe nicht auf die den Entscheid tragenden Erwägungen ein und zeigt nicht auf, inwiefern die Vorinstanz den Sachverhalt willkürlich festgestellt, Bundesrecht willkürlich angewendet oder verfassungsmässige Rechte des Beschwerdeführers verletzt haben soll. Auf die offensichtlich nicht hinreichend begründete 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