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5D_178/2012 vom 14. Juni 2013</w:t>
      </w:r>
    </w:p>
    <w:p>
      <w:r>
        <w:t>Bundesgericht, 2013-06-14, DE</w:t>
      </w:r>
    </w:p>
    <w:p>
      <w:r>
        <w:rPr>
          <w:b/>
        </w:rPr>
        <w:t xml:space="preserve">Quelle: </w:t>
      </w:r>
      <w:r>
        <w:t>https://mcp.opencaselaw.ch/entscheid/bger_5D_178_2012</w:t>
      </w:r>
    </w:p>
    <w:p>
      <w:r>
        <w:t>FR: TF 5D_178/2012 du 14 juin 2013</w:t>
      </w:r>
    </w:p>
    <w:p>
      <w:r>
        <w:t>IT: TF 5D_178/2012 del 14 giugno 2013</w:t>
      </w:r>
    </w:p>
    <w:p>
      <w:pPr>
        <w:pStyle w:val="Heading2"/>
      </w:pPr>
      <w:r>
        <w:t>Erwägungen</w:t>
      </w:r>
    </w:p>
    <w:p>
      <w:r>
        <w:rPr>
          <w:b/>
        </w:rPr>
        <w:t>E. 1.1</w:t>
      </w:r>
    </w:p>
    <w:p>
      <w:r>
        <w:t>Angefochten ist ein letztinstanzlicher ( Art. 75 Abs. 1 BGG ) kantonaler Endentscheid ( Art. 90 BGG ) betreffend Festsetzung der Entschädigung der unentgeltlichen Rechtsbeiständin der obsiegenden Partei, deren Parteientschädigung von der unterliegenden Gegenpartei nicht eingetrieben werden kann. Die Festsetzung der Entschädigung stellt einen Nebenpunkt dar, der mit dem für die Hauptsache zulässigen Rechtsmittel angefochten werden kann (vgl. BGE 137 III 47 E. 1.2). In der Hauptsache geht es um Kinderunterhalt und damit um eine Zivilsache ( Art. 72 Abs. 1 BGG ) vermögensrechtlicher Natur, deren Streitwert den Betrag von Fr. 30'000.-- ( Art. 74 Abs. 1 lit. b BGG ) gemäss den vorinstanzlichen Angaben nicht erreicht (Fr. 22'400.--; Unterhalt für die Kinder bis zu deren Mündigkeit). Damit ist einzig die Verfassungsbeschwerde gegeben ( Art. 113 BGG ).</w:t>
      </w:r>
    </w:p>
    <w:p>
      <w:r>
        <w:rPr>
          <w:b/>
        </w:rPr>
        <w:t>E. 1.2</w:t>
      </w:r>
    </w:p>
    <w:p>
      <w:r>
        <w:t>Die Voraussetzungen gemäss Art. 76 Abs. 1 lit. a und b BGG sind erfüllt. Auf die fristgerecht ( Art. 100 Abs. 1 BGG ) eingereichte Verfassungsbeschwerde ist einzutreten.</w:t>
      </w:r>
    </w:p>
    <w:p>
      <w:r>
        <w:rPr>
          <w:b/>
        </w:rPr>
        <w:t>E. 2.1</w:t>
      </w:r>
    </w:p>
    <w:p>
      <w:r>
        <w:t>Die Vorinstanz hat dem Vertreter der im Genuss unentgeltlicher Rechtspflege prozessierenden, in der Sache unterliegenden Berufungsklägerin (B.________) für einen als angemessen erachteten Aufwand von 6,5 Stunden und Auslagen einen Betrag von Fr. 1'170.-- plus Mehrwertsteuer zugesprochen. Ferner hat das Appellationsgericht erwogen, dem (obsiegenden) Berufungsbeklagten (A.________) sei eine Parteientschädigung zulasten der Berufungsklägerin auf der Grundlage des Streitwertes und unter Berücksichtigung der komplexen Fragestellung zum Ansatz von Fr. 250.-- zuzüglich Mehrwertsteuer zuzusprechen. Zufolge offensichtlicher Uneinbringlichkeit dieser Forderung sei der unentgeltlichen Rechtsanwältin des Berufungsbeklagten (der Beschwerdeführerin im vorliegenden Verfahren) ein Honorar von Fr. 2'500.-- zuzüglich Mehrwertsteuer aus der Gerichtskasse auszurichten.</w:t>
      </w:r>
    </w:p>
    <w:p>
      <w:r>
        <w:rPr>
          <w:b/>
        </w:rPr>
        <w:t>E. 2.2</w:t>
      </w:r>
    </w:p>
    <w:p>
      <w:r>
        <w:t>Die Beschwerdeführerin rügt eine Verletzung der Begründungspflicht gemäss Art. 29 Abs. 2 BV und macht ausführend dazu geltend, aus dem zugesprochenen Honorar von Fr. 2'500.-- zu einem Stundenansatz von Fr. 250.-- gehe hervor, dass die Vorinstanz von einem Aufwand von 10 Arbeitsstunden ausgegangen sei. Unklar bleibe indes, wie sie den 10-Stunden-Aufwand ermittelt habe, zumal der effektive Aufwand gemäss eingereichter Kostennote vom 20. August 2012 rund 60 Stunden betragen habe. Die Vorinstanz habe in ihrem Entscheid die Abweichung von der eingereichten Kostennote nicht begründet.</w:t>
      </w:r>
    </w:p>
    <w:p>
      <w:r>
        <w:rPr>
          <w:b/>
        </w:rPr>
        <w:t>E. 2.3.1</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 ; 134 I 83 E. 4.1 S. 88 mit Hinweisen).</w:t>
      </w:r>
    </w:p>
    <w:p>
      <w:r>
        <w:rPr>
          <w:b/>
        </w:rPr>
        <w:t>E. 2.3.2</w:t>
      </w:r>
    </w:p>
    <w:p>
      <w:r>
        <w:t>Das Recht, angehört zu werden, ist formeller Natur. Die Verletzung der aus dem Anspruch auf rechtliches Gehör nach Art. 29 Abs. 2 BV fliessenden Begründungspflicht führt ungeachtet der Erfolgsaussichten der Beschwerde in der Sache selbst grundsätzlich zur Aufhebung der angefochtenen Verfügung ( BGE 132 V 387 E. 5.1 S. 390; 127 V 431 E. 3d/aa S. 437 f.).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135 I 279 E. 2.6.1 S. 285). Von einer Rückweisung der Sache an die Verwaltung ist auch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2.3.3</w:t>
      </w:r>
    </w:p>
    <w:p>
      <w:r>
        <w:t>Nach der bundesgerichtlichen Rechtsprechung zur Parteientschädigung, die auch auf die Entschädigung des unentgeltlichen Rechtsbeistands Anwendung findet (Urteile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 BGE 111 Ia 1 E. 2a S. 1 f. ;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Anwältin vermöge die Überlegungen, die das Gericht zu einem solchen Entschädigungsentscheid führten, auch ohne Begründung zu erkennen (Urteile 4A_275/2010 vom 11. August 2010 E. 8.2; 2C_832/2008 vom 4. Mai 2009 E. 6.3, in: StR 64/2009 S. 668; I 308/1998 vom 28. Juli 1999 E. 3b, in: Pra 2000 Nr. 109 S. 635). Akzeptiert das Gericht in einem solchen Fall einzelne Posten der Kostennote, setzt es aber andere herab, hat es zu jeder Reduktion zumindest kurz auszuführen, aus welchem Grund die Aufwendungen als unnötig betrachtet werden (Urteil 9C_991/2008 vom 18. Mai 2009 E. 3.1.2, in: SZZP 2009 S. 391; zum Ganzen: Urteil 5D_15/2012 vom 28. März 2012 E. 4.2.2).</w:t>
      </w:r>
    </w:p>
    <w:p>
      <w:r>
        <w:rPr>
          <w:b/>
        </w:rPr>
        <w:t>E. 2.4</w:t>
      </w:r>
    </w:p>
    <w:p>
      <w:r>
        <w:t>Ohne Hinweis auf die anwendbaren kantonalen Normen heisst es im angefochtenen Entscheid, zufolge Uneinbringlichkeit der (gegenüber der Berufungsklägerin bestehenden) Forderung sei der Vertreterin des unentgeltlich prozessierenden Berufungsbeklagten ein Honorar von Fr. 2'500.-- zuzusprechen. W ie viele Stunden dabei berücksichtigt worden sind, wird nicht ausdrücklich gesagt; unter Annahme des Honorars von Fr. 250.-- pro Stunde und mit Blick auf den Betrag von Fr. 2'500.-- kann immerhin von berücksichtigten 10 Stunden ausgegangen werden. Aus der Begründungergibt sich aber nicht, welche Positionen der Kostenliste der Beschwerdeführerin nicht und aus welchem Grund sie nicht berücksichtigt worden sind. Der angefochtene Entscheid vermag damit den vorgenannten Begründungsanforderungen nicht zu genügen.</w:t>
      </w:r>
    </w:p>
    <w:p>
      <w:r>
        <w:rPr>
          <w:b/>
        </w:rPr>
        <w:t>E. 2.5</w:t>
      </w:r>
    </w:p>
    <w:p>
      <w:r>
        <w:t>Die Vorinstanz hat demnach den Anspruch der Beschwerdeführerin auf rechtliches Gehör in schwerwiegender Weise verletzt. Eine Heilung dieses Mangels im vorliegenden Verfahren ist ausgeschlossen, da das Bundesgericht die Bemessung der Entschädigung des unentgeltlichen Rechtsbeistandes nur in eingeschränktem Rahmen überprüfen kann und die Beschwerdeführerin diesfalls einer Instanz verlustig ginge. Einen formalistischen Leerlauf stellt die Rückweisung der Angelegenheit an das kantonale Gericht sodann ebenfalls nicht dar, wird diesem dadurch doch die Gelegenheit geboten, die Entschädigung in Nachachtung der dargelegten Grundsätze neu zu beurteilen und festzusetzen.</w:t>
      </w:r>
    </w:p>
    <w:p>
      <w:r>
        <w:rPr>
          <w:b/>
        </w:rPr>
        <w:t>E. 3</w:t>
      </w:r>
    </w:p>
    <w:p>
      <w:r>
        <w:t>Damit ist die Beschwerde gutzuheissen, der angefochtene Entscheid aufzuheben und die Sache zu neuem Entscheid an die Vorinstanz zurückzuweisen. Von der Erhebung von Gerichtskosten ist unter den vorliegenden Umständen abzusehen ( Art. 66 Abs. 1 Satz 2 und Abs. 4 BGG ). Der im Streit um die Erhöhung des Honorars als unentgeltlicher Rechtsbeistand im vorgenannten Sinne obsiegende Rechtsanwalt hat Anspruch auf eine Parteientschädigung ( BGE 125 II 518 ; Urteil 9C_387/2012 vom 26. September 2012 E. 5 mit Hinweisen, in: SVR 2013 IV Nr. 8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