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5D_174/2021 vom 28. September 2021</w:t>
      </w:r>
    </w:p>
    <w:p>
      <w:r>
        <w:t>Bundesgericht, 2021-09-28, DE</w:t>
      </w:r>
    </w:p>
    <w:p>
      <w:r>
        <w:rPr>
          <w:b/>
        </w:rPr>
        <w:t xml:space="preserve">Quelle: </w:t>
      </w:r>
      <w:r>
        <w:t>https://mcp.opencaselaw.ch/entscheid/bger_5D_174_2021</w:t>
      </w:r>
    </w:p>
    <w:p>
      <w:r>
        <w:t>FR: TF 5D_174/2021 du 28 septembre 2021</w:t>
      </w:r>
    </w:p>
    <w:p>
      <w:r>
        <w:t>IT: TF 5D_174/2021 del 28 settembre 2021</w:t>
      </w:r>
    </w:p>
    <w:p>
      <w:pPr>
        <w:pStyle w:val="Heading2"/>
      </w:pPr>
      <w:r>
        <w:t>Erwägungen</w:t>
      </w:r>
    </w:p>
    <w:p>
      <w:r>
        <w:rPr>
          <w:b/>
        </w:rPr>
        <w:t>E. 1</w:t>
      </w:r>
    </w:p>
    <w:p>
      <w:r>
        <w:t>Eingereicht wird eine Beschwerde in Zivilsachen. Indes beträgt der Streitwert gemäss den unbeanstandeten Feststellungen im angefochtenen Entscheid weniger als der hierfür erforderliche Betrag von Fr. 30'000.-- ( Art. 74 Abs. 1 lit. b BGG ). Somit steht - worauf der Beschwerdeführer bereits in mehreren früheren Entscheiden hingewiesen wurde - nur die subsidiäre Verfassungsbeschwerde zur Verfügung ( Art. 113 BGG ), als welche seine Eingabe entgegenzunehmen ist.</w:t>
      </w:r>
    </w:p>
    <w:p>
      <w:r>
        <w:rPr>
          <w:b/>
        </w:rPr>
        <w:t>E. 2</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3</w:t>
      </w:r>
    </w:p>
    <w:p>
      <w:r>
        <w:t>Die weitschweifigen Ausführungen (zur Geologie, dem Gutachten, den früheren Prozessen sowie die Behauptung, das Obergericht sei irregeführt worden) bleiben rein appellatorisch; die Verletzung eines verfassungsmässigen Rechtes wird weder explizit noch der Sache nach angerufen.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Mit dem sofortigen Urteil in der Sache wird das Gesuch um aufschiebende Wirkung gegenstandslos, soweit es bei einem negativen angefochtenen Entscheid überhaupt etwas aufzuschieben gegeben hätte.</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