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174/2009 vom 28. Dezember 2009</w:t>
      </w:r>
    </w:p>
    <w:p>
      <w:r>
        <w:t>Bundesgericht, 2009-12-28, DE</w:t>
      </w:r>
    </w:p>
    <w:p>
      <w:r>
        <w:rPr>
          <w:b/>
        </w:rPr>
        <w:t xml:space="preserve">Quelle: </w:t>
      </w:r>
      <w:r>
        <w:t>https://mcp.opencaselaw.ch/entscheid/bger_5D_174_2009</w:t>
      </w:r>
    </w:p>
    <w:p>
      <w:r>
        <w:t>FR: TF 5D 174/2009 du 28 décembre 2009</w:t>
      </w:r>
    </w:p>
    <w:p>
      <w:r>
        <w:t>IT: TF 5D 174/2009 del 28 dicembre 2009</w:t>
      </w:r>
    </w:p>
    <w:p>
      <w:pPr>
        <w:pStyle w:val="Heading2"/>
      </w:pPr>
      <w:r>
        <w:t>Regeste</w:t>
      </w:r>
    </w:p>
    <w:p>
      <w:r>
        <w:t>Besitzesschutz | Sachenrecht</w:t>
      </w:r>
    </w:p>
    <w:p>
      <w:pPr>
        <w:pStyle w:val="Heading2"/>
      </w:pPr>
      <w:r>
        <w:t>Volltext</w:t>
      </w:r>
    </w:p>
    <w:p>
      <w:r>
        <w:t>Bundesgericht II. zivilrechtliche Abteilung 28.12.2009 5D 174/2009 (5D_174/2009) Tribunal fédéral IIe Cour de droit civil 28.12.2009 5D 174/2009 (5D_174/2009) Tribunale federale II Corte di diritto civile 28.12.2009 5D 174/2009 (5D_174/2009)</w:t>
      </w:r>
    </w:p>
    <w:p>
      <w:r>
        <w:t>Besitzesschutz | Sachenrecht</w:t>
      </w:r>
    </w:p>
    <w:p>
      <w:r>
        <w:t>Bundesgericht Tribunal fédéral Tribunale federale Tribunal federal {T 0/2} 5D_174/2009 Urteil vom 28. Dezember 2009 II. zivilrechtliche Abteilung Besetzung Bundesrichterin Hohl, Präsidentin, Gerichtsschreiber Füllemann. Parteien X.________, Beschwerdeführer, gegen 1. Y.________, 2. Z.________, Beschwerdegegner, beide vertreten durch Rechtsanwalt Dr. Parik Wagner, Gegenstand Eigentum, Besitz etc. Verfassungsbeschwerde gegen die Verfügung vom 22. Oktober 2009 des Kantonsgerichts von Graubünden (II. Zivilkammer). Nach Einsicht in die Verfassungsbeschwerde gegen die Verfügung vom 22. Oktober 2009 des Kantonsgerichts von Graubünden, das auf eine Berufung des Beschwerdeführers gegen ein - den rechtmässigen Eigentums- und Besitzerwerb der Beschwerdegegner an einer Liegenschaft sowie die fehlende Berechtigung des Beschwerdeführers zum Aufenthalt auf der Liegenschaft feststellendes und diesen zur Zahlung von Fr. 13'768.35 verpflichtendes - Urteil des Bezirksgerichts Prättigau/ Davos nicht eingetreten ist, in Erwägung, dass gegen die in einer vermögensrechtlichen Angelegenheit ergangene Verfügung des Kantonsgerichts mangels Erreichens der Streitwertgrenze ( Art. 74 Abs. 1 lit. b BGG ) und mangels Vorliegens einer Ausnahme gemäss Art. 74 Abs. 2 BGG allein die subsidiäre Verfassungsbeschwerde nach Art. 113ff.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Kantonsgericht erwog, der Beschwerdeführer setze sich mit den erstinstanzlichen Erwägungen nicht substantiiert auseinander, weshalb die Berufung schon aus diesem Grund unzulässig sei, der Beschwerdeführer habe ausserdem seine Einwendungen bereits in einem früheren, rechtskräftig abgeschlossenen Verfahren vorgebracht, weshalb sich die Berufung auch aus diesem Grund als unzulässig erweise, dass der Beschwerdeführer in seiner Eingabe an das Bundesgericht nicht in nachvollziehbarer Weise auf die Erwägungen des Kantonsgerichts von Graubünden eingeht, dass er erst recht nicht anhand dieser Erwägungen nach den gesetzlichen Anforderungen aufzeigt, inwiefern die Verfügung des Kantonsgerichts vom 22. Oktober 2009 verfassungswidrig sein soll,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die Abteilungspräsidentin zuständig ist, erkennt die Präsidentin: 1. Auf die Verfassungsbeschwerde wird nicht eingetreten. 2. Die Gerichtskosten von Fr. 1'000.-- werden dem Beschwerdeführer auferlegt. 3. Dieses Urteil wird den Parteien und dem Kantonsgericht von Graubünden schriftlich mitgeteilt. Lausanne, 28. Dezember 2009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