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5D_173/2020 vom 3. Dezember 2020</w:t>
      </w:r>
    </w:p>
    <w:p>
      <w:r>
        <w:t>Bundesgericht, 2020-12-03, FR</w:t>
      </w:r>
    </w:p>
    <w:p>
      <w:r>
        <w:rPr>
          <w:b/>
        </w:rPr>
        <w:t xml:space="preserve">Quelle: </w:t>
      </w:r>
      <w:r>
        <w:t>https://mcp.opencaselaw.ch/entscheid/bger_5D_173_2020</w:t>
      </w:r>
    </w:p>
    <w:p>
      <w:r>
        <w:t>FR: TF 5D_173/2020 du 3 décembre 2020</w:t>
      </w:r>
    </w:p>
    <w:p>
      <w:r>
        <w:t>IT: TF 5D_173/2020 del 3 dicembre 2020</w:t>
      </w:r>
    </w:p>
    <w:p>
      <w:pPr>
        <w:pStyle w:val="Heading2"/>
      </w:pPr>
      <w:r>
        <w:t>Erwägungen</w:t>
      </w:r>
    </w:p>
    <w:p>
      <w:r>
        <w:rPr>
          <w:b/>
        </w:rPr>
        <w:t>E. 1</w:t>
      </w:r>
    </w:p>
    <w:p>
      <w:r>
        <w:t>Le recours a été déposé en temps utile ( art. 100 al. 1 LTF ) contre une décision, rendue par une juridiction ayant statué sur recours en dernière instance cantonale, portant à la fois sur une demande de récusation ( art. 92 al. 1 LTF ) et sur une décision de mainlevée définitive de l'opposition ( art. 90 LTF ; ATF 133 III 399 consid. 1.4).</w:t>
      </w:r>
    </w:p>
    <w:p>
      <w:r>
        <w:t>La décision attaquée est en principe susceptible de recours en matière civile au sens des art. 72 ss LTF . Pour pallier l'insuffisance de la valeur litigieuse ( art. 74 al. 1 let. b LTF ), le recourant se réfère à l' art. 74 al. 2 let. a LTF , mais sans démontrer à satisfaction en quoi la présente cause soulèverait une question juridique de principe ( art. 42 al. 2 LTF ). Seul le recours constitutionnel subsidiaire selon les art. 113 ss LTF est par conséquent ouvert dans le cas présent. Le recourant, qui a succombé devant la juridiction précédente, possède un intérêt juridique à l'annulation ou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144 II 313 consid. 5.1; 142 II 369 consid. 2.1; 142 III 364 consid. 2.4). Le recourant doit ainsi indiquer quelle disposition constitutionnelle aurait été violée et démontrer, par une argumentation précise, en quoi consiste cette violation ( ATF 134 II 349 consid. 3).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Dans un premier moyen, le recourant s'en prend à l'irrecevabilité prononcée par les juges cantonaux à l'égard de sa demande de récusation de l'ensemble des membres du Tribunal cantonal. Il conteste que son but soit de bloquer l'appareil judiciaire fribourgeois. Sa demande de récusation est en effet motivée par le fait que le Tribunal cantonal est à la fois juge et partie dans cette procédure, ce qui serait contraire aux garanties d'indépendance et d'impartialité consacrées par la Constitution fédérale et la CEDH. Selon le recourant, " le Tribunal cantonal ne peut pas prononcer une mainlevée définitive sur des montants que lui-même réclame ".</w:t>
      </w:r>
    </w:p>
    <w:p>
      <w:r>
        <w:t>Ce faisant, le recourant perd de vue qu'il ne suffit pas de répéter devant le Tribunal fédéral le motif sous-tendant sa demande de récusation. Le Tribunal cantonal y a apporté une réponse qu'il convenait de discuter de manière conforme aux exigences de motivation susrappelées (cf.</w:t>
      </w:r>
    </w:p>
    <w:p>
      <w:r>
        <w:t>supra consid. 2.1). Ainsi, selon les juges cantonaux, la demande de récusation, à supposer recevable, aurait dû être rejetée: en effet, sous l'angle du droit à un tribunal indépendant, la jurisprudence du Tribunal fédéral admet qu'il est compatible avec la Constitution qu'un tribunal traite une requête de mainlevée pour des frais de justice qu'il a lui-même fixés. Le recourant ne s'en prend nullement à cette motivation - au demeurant parfaitement correcte (arrêt 5D_183/2015 du 1er février 2016 consid. 6 et les références) -, singulièrement sous l'angle de l'arbitraire ( art. 9 Cst. ). Le grief est irrecevable.</w:t>
      </w:r>
    </w:p>
    <w:p>
      <w:r>
        <w:rPr>
          <w:b/>
        </w:rPr>
        <w:t>E. 4</w:t>
      </w:r>
    </w:p>
    <w:p>
      <w:r>
        <w:t>Dans un deuxième moyen, le recourant critique le rejet de sa demande de récusation de la Juge cantonale C.________. Selon le recourant, la vision du Tribunal cantonal - qui avait considéré que les deux causes le concernant dans lesquelles siégeait ladite magistrate n'avaient aucun lien entre elles - était " totalement erronée ". En effet, les procédures " passées et présentes " ouvertes à son encontre étaient toutes liées " au faux jugement de divorce rendu par le Juge B.________ ". Il y avait donc clairement un risque de prévention, ainsi qu'un manque d'impartialité et d'indépendance.</w:t>
      </w:r>
    </w:p>
    <w:p>
      <w:r>
        <w:t>Force est de constater que la critique s'épuise dans le qualificatif " totalement erroné " adressé au raisonnement des juges cantonaux et dans une motivation purement appellatoire. Vu les exigences de motivation accrues en la matière (cf.</w:t>
      </w:r>
    </w:p>
    <w:p>
      <w:r>
        <w:t>supra consid. 2.1), le grief se révèle d'emblée irrecevable.</w:t>
      </w:r>
    </w:p>
    <w:p>
      <w:r>
        <w:rPr>
          <w:b/>
        </w:rPr>
        <w:t>E. 5</w:t>
      </w:r>
    </w:p>
    <w:p>
      <w:r>
        <w:t>Le recourant reproche ensuite aux juges cantonaux d'avoir considéré que sa demande de récusation du Juge B.________ était tardive. Tel n'était en effet pas le cas, dès lors que " la communication des écritures n'indiquait pas que c'était le juge B.________ qui allait rendre la décision ". Il était en effet arrivé à plusieurs reprises au Tribunal de la Gruyère que " le juge qui notifie la communication des écritures ne soit pas le même qui rende la décision de mainlevée ". Dans une autre affaire de mainlevée, le Juge B.________ s'était du reste récusé d'office et avait transmis le dossier à un autre juge. Cela démontrait bien que ledit juge considère qu'il ne dispose pas de l'indépendance, de l'impartialité et de la neutralité nécessaires pour rendre une quelconque décision " en conformité de la Constitution et de la CEDH, suite au faux jugement de divorce qu'il a rendu en 2003 dans le cadre de l'affaire A.________ ".</w:t>
      </w:r>
    </w:p>
    <w:p>
      <w:r>
        <w:t>En l'occurrence, le Tribunal cantonal a constaté que le recourant avait découvert au moment de la réception du courrier du 6 février 2020 du Président B.________, qui lui communiquait la requête de mainlevée du créancier et lui impartissait un délai de 10 jours pour se déterminer sur celle-ci, que la cause serait jugée par le magistrat précité; il n'avait toutefois pas demandé sa récusation dans le cadre de la procédure de première instance; partant, sa requête, déposée dans son recours, était tardive. A nouveau, le recourant n'oppose à ces motifs aucun grief d'ordre constitutionnel motivé selon les réquisits du principe d'allégation ( art. 106 al. 2 LTF ; cf.</w:t>
      </w:r>
    </w:p>
    <w:p>
      <w:r>
        <w:t>supra consid. 2.1). Son argumentation se fonde au demeurant sur de pures conjectures, auxquelles il n'y a pas lieu de donner suite.</w:t>
      </w:r>
    </w:p>
    <w:p>
      <w:r>
        <w:rPr>
          <w:b/>
        </w:rPr>
        <w:t>E. 6</w:t>
      </w:r>
    </w:p>
    <w:p>
      <w:r>
        <w:t>Le recourant soutient encore que, contrairement à ce qu'avait retenu le Tribunal cantonal, le commandement de payer n'indiquait pas clairement les montants réclamés. Il n'y avait pas un " listing exhaustif " des décisions du Tribunal cantonal concernées. Il n'était donc pas possible, " à la lecture du commandement de payer et du dossier ", de comprendre à quoi correspondait le montant de 6'270 fr. Prétendre ainsi que le commandement de payer est fondé sur des décisions exécutoires était constitutif d'un " abus de droit et de pouvoir " et d'arbitraire.</w:t>
      </w:r>
    </w:p>
    <w:p>
      <w:r>
        <w:t>Sur ce point, les juges cantonaux ont adopté une double motivation. Or, lorsque la décision querellée repose sur une double motivation dont chaque pan est indépendant et suffit à sceller l'issue de la procédure cantonale, il importe, sous peine d'irrecevabilité, de discuter chacune de ces deux motivations (cf. ATF 138 III 728 consid. 3.4; 138 I 97 consid. 4.1.4; 133 IV 119 consid. 6.3). On cherche en vain une quelconque critique dûment motivée en lien avec le motif principal qui ont conduit les juges cantonaux à écarter le moyen pris d'une violation de l' art. 67 al. 1 ch. 4 LP , à savoir que le recourant ne pouvait plus se plaindre, au stade de la mainlevée, d'irrégularités dans la rédaction du commandement de payer, un tel grief devant être invoqué par la voie de la plainte ( art. 17 LP ). Le grief est irrecevable.</w:t>
      </w:r>
    </w:p>
    <w:p>
      <w:r>
        <w:rPr>
          <w:b/>
        </w:rPr>
        <w:t>E. 7</w:t>
      </w:r>
    </w:p>
    <w:p>
      <w:r>
        <w:t>Enfin, sans même citer l' art. 29 al. 2 Cst. , le recourant reproche tant au premier juge qu'au Tribunal cantonal de ne pas avoir motivé leur décision sur les frais judiciaires, arrêtés à, respectivement, 140 fr. et 200 fr. Il estime être en droit de savoir comment dites autorités étaient parvenues à de tels montants.</w:t>
      </w:r>
    </w:p>
    <w:p>
      <w:r>
        <w:t>Comme le Tribunal cantonal l'a correctement rappelé et comme le Tribunal fédéral a déjà eu l'occasion de l'indiquer au recourant, la motivation en lien avec les décisions relatives aux frais de justice peut être très succincte, voire même inexistante lorsque ceux-ci sont fixés, de manière forfaitaire, dans le cadre de l'application de tarifs prévus par le droit cantonal, situation qui permet une certaine systématisation de la pratique en matière de frais (arrêt 1B_126/2020 du 28 avril 2020 consid. 3 et les références citées). Or, en l'occurrence, les frais judiciaires consistent en un émolument forfaitaire fixé selon les tarifs de l' art. 48 OELP pour la première instance, respectivement des art. 48 et 61 al. 1 OELP pour la deuxième, dispositions légales expressément mentionnées dans les décisions concernées. Autant que recevable, le moyen est infondé.</w:t>
      </w:r>
    </w:p>
    <w:p>
      <w:r>
        <w:rPr>
          <w:b/>
        </w:rPr>
        <w:t>E. 8</w:t>
      </w:r>
    </w:p>
    <w:p>
      <w:r>
        <w:t>En définitive, le recours en matière civile est irrecevable et le recours constitutionnel subsidiaire rejeté dans la très faible mesure de sa recevabilité. La requête d'assistance judiciaire doit être rejetée, le procédé étant manifestement dénué de chances de succès ( art. 64 al. 1 LTF ). Cela étant, les frais doivent être mis à la charge du recourant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