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5D_173/2019 vom 11. September 2019</w:t>
      </w:r>
    </w:p>
    <w:p>
      <w:r>
        <w:t>Bundesgericht, 2019-09-11, DE</w:t>
      </w:r>
    </w:p>
    <w:p>
      <w:r>
        <w:rPr>
          <w:b/>
        </w:rPr>
        <w:t xml:space="preserve">Quelle: </w:t>
      </w:r>
      <w:r>
        <w:t>https://mcp.opencaselaw.ch/entscheid/bger_5D_173_2019</w:t>
      </w:r>
    </w:p>
    <w:p>
      <w:r>
        <w:t>FR: TF 5D_173/2019 du 11 septembre 2019</w:t>
      </w:r>
    </w:p>
    <w:p>
      <w:r>
        <w:t>IT: TF 5D_173/2019 del 11 settembre 2019</w:t>
      </w:r>
    </w:p>
    <w:p>
      <w:pPr>
        <w:pStyle w:val="Heading2"/>
      </w:pPr>
      <w:r>
        <w:t>Erwägungen</w:t>
      </w:r>
    </w:p>
    <w:p>
      <w:r>
        <w:rPr>
          <w:b/>
        </w:rPr>
        <w:t>E. 1</w:t>
      </w:r>
    </w:p>
    <w:p>
      <w:r>
        <w:t>Die Eingabe in französischer Sprache ist zulässig ( Art. 42 Abs. 1 BGG ), das vorliegende Urteil jedoch in der Sprache des angefochtenen Entscheides abzufassen ( Art. 54 Abs. 1 BGG ).</w:t>
      </w:r>
    </w:p>
    <w:p>
      <w:r>
        <w:rPr>
          <w:b/>
        </w:rPr>
        <w:t>E. 2</w:t>
      </w:r>
    </w:p>
    <w:p>
      <w:r>
        <w:t>Der Streitwert beträgt gemäss den unbeanstandeten Feststellungen im angefochtenen Entscheid Fr. 9'600.-- Damit ist die Beschwerde in Zivilsachen nicht gegeben, weil diese einen Mindeststreitwert von Fr. 30'000.-- voraussetzt (Art. 72 Abs. 2 lit. a i.V.m. Art. 74 Abs. 1 lit. b BGG ); vielmehr steht die subsidiäre Verfassungsbeschwerde zur Verfügung ( Art. 113 BGG ).</w:t>
      </w:r>
    </w:p>
    <w:p>
      <w:r>
        <w:rPr>
          <w:b/>
        </w:rPr>
        <w:t>E. 3</w:t>
      </w:r>
    </w:p>
    <w:p>
      <w:r>
        <w:t>Anfechtungsobjekt bildet ein Rechtsöffnungsentscheid. Soweit der Beschwerdeführer mehr oder anderes verlangt, als von der Vorinstanz beurteilt wurde, ist darauf nicht einzutreten ( BGE 136 II 457 E. 4.2 S. 462 f.; 136 V 362 E. 3.4.2 S. 365 ; 142 I 155 E. 4.4.2 S. 156). Dies betrifft das Begehren um Aufhebung der dem Rechtsöffnungsentscheid materiell zugrunde liegenden Unterhaltspflicht gegenüber den Kindern sowie um Aufhebung eines das Besuchsrecht aufhebenden Entscheides des Regionalgerichts Waadtland-Ost aus dem Jahr 2017.</w:t>
      </w:r>
    </w:p>
    <w:p>
      <w:r>
        <w:rPr>
          <w:b/>
        </w:rPr>
        <w:t>E. 4</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5</w:t>
      </w:r>
    </w:p>
    <w:p>
      <w:r>
        <w:t>Das Kantonsgericht hat erwogen, dass die Unterhaltsforderungen auf dem Eheschutzentscheid des Bezirksgerichts Vevey vom 12. Juni 2013 bzw. auf dem die dagegen erhobene Berufung abweisenden Entscheid des Kantonsgerichts Waadt vom 9. Juli 2013 beruhen, dass der Kanton Waadt durch die Unterhaltsbevorschussung von Gesetzes wegen in die Unterhaltsforderung subrogiert hat, dass mit dem rechtskräftigen Gerichtsurteil ein definitiver Rechtsöffnungstitel vorliegt, dass gegen diesen nur die Einwendungen der Tilgung, Stundung und Verjährung geltend gemacht werden können und dass keine solchen erhoben, sondern Zahlungsschwierigkeiten und Verarmung geltend gemacht wurden.</w:t>
      </w:r>
    </w:p>
    <w:p>
      <w:r>
        <w:rPr>
          <w:b/>
        </w:rPr>
        <w:t>E. 6</w:t>
      </w:r>
    </w:p>
    <w:p>
      <w:r>
        <w:t>Der Beschwerdeführer erhebt keinerlei Verfassungsrügen und setzt sich mit den - in allen Teilen zutreffenden - Erwägungen des angefochtenen Entscheides nicht mit einem Wort auseinander. Er kritisiert, dass die Unterhaltszahlungen seinerzeit falsch festgelegt worden seien. Ferner beruft er sich auf Schriften von Karl Jaspers und in epischer Weise auf Bibelstellen, in der Hoffnung, dass das Bundesgericht in Frömmigkeit durch die Wahrheit der heiligen Liebe entscheide. Damit lässt sich ebenso wenig wie mit der sich über Seiten hinziehenden apokalyptischen Zahlenmystik eine Verfassungsverletzung durch den angefochtenen Entscheid dartun (und im Übrigen auch keine Rechtsverletzung, wenn volle Kognition bestünde).</w:t>
      </w:r>
    </w:p>
    <w:p>
      <w:r>
        <w:rPr>
          <w:b/>
        </w:rPr>
        <w:t>E. 7</w:t>
      </w:r>
    </w:p>
    <w:p>
      <w:r>
        <w:t>Nach dem Gesagten erweist sich die Beschwerde teils als offensichtlich unzulässig und teils als offensichtlich nicht hinreichend begründet, weshalb auf sie im vereinfachten Verfahren nach Art. 108 Abs. 1 lit. a und b BGG nicht einzutreten ist.</w:t>
      </w:r>
    </w:p>
    <w:p>
      <w:r>
        <w:rPr>
          <w:b/>
        </w:rPr>
        <w:t>E. 8</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9</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