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173/2017 vom 27. September 2017</w:t>
      </w:r>
    </w:p>
    <w:p>
      <w:r>
        <w:t>Bundesgericht, 2017-09-27, DE</w:t>
      </w:r>
    </w:p>
    <w:p>
      <w:r>
        <w:rPr>
          <w:b/>
        </w:rPr>
        <w:t xml:space="preserve">Quelle: </w:t>
      </w:r>
      <w:r>
        <w:t>https://mcp.opencaselaw.ch/entscheid/bger_5D_173_2017</w:t>
      </w:r>
    </w:p>
    <w:p>
      <w:r>
        <w:t>FR: TF 5D 173/2017 du 27 septembre 2017</w:t>
      </w:r>
    </w:p>
    <w:p>
      <w:r>
        <w:t>IT: TF 5D 173/2017 del 27 settembre 2017</w:t>
      </w:r>
    </w:p>
    <w:p>
      <w:pPr>
        <w:pStyle w:val="Heading2"/>
      </w:pPr>
      <w:r>
        <w:t>Regeste</w:t>
      </w:r>
    </w:p>
    <w:p>
      <w:r>
        <w:t>Definitive Rechtsöffnung | Schuldbetreibungs- und Konkursrecht</w:t>
      </w:r>
    </w:p>
    <w:p>
      <w:pPr>
        <w:pStyle w:val="Heading2"/>
      </w:pPr>
      <w:r>
        <w:t>Erwägungen</w:t>
      </w:r>
    </w:p>
    <w:p>
      <w:r>
        <w:rPr>
          <w:b/>
        </w:rPr>
        <w:t>E. 1</w:t>
      </w:r>
    </w:p>
    <w:p>
      <w:r>
        <w:t>Mit Entscheid vom 25. April 2017 erteilte das Bezirksgericht Zürich dem Beschwerdegegner gegenüber der Beschwerdeführerin gestützt auf zwei Verfügungen des Handelsregisteramts des Kantons Zug definitive Rechtsöffnung für Fr. 200.-- in der Betreibung Nr. xxx des Betreibungsamts Zürich 9. Dagegen erhob die Beschwerdeführerin am 19. Mai 2017 Beschwerde an das Obergericht des Kantons Zürich. Mit Beschluss vom 15. August 2017 trat das Obergericht auf die Beschwerde nicht ein. Am 22. September 2017 hat die Beschwerdeführerin gegen diesen Beschluss Beschwerde in Zivilsachen und subsidiäre Verfassungsbeschwerde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ist auf die kantonale Beschwerde nicht eingetreten, da sie den Begründungsanforderungen nicht genügte. Die neu gestellten Anträge seien unzulässig. Ergänzend hat das Obergericht darauf hingewiesen, dass im Rechtsöffnungsverfahren die Richtigkeit der als Rechtsöffnungstitel dienenden Verfügungen nicht überprüft werden könne. Die Beschwerdeführerin setzt sich mit diesen Erwägungen nicht auseinander und sie zeigt nicht auf, inwiefern das Obergericht verfassungsmässige Rechte verletzt haben soll. Die Beschwerde hat teilweise keinen erkennbaren Zusammenhang mit dem vorliegenden Rechtsöffnungsverfahren (z.B. Anträge auf Erteilung des Schweizer Bürgerrechts an B.________). Soweit die Beschwerdeführerin die Rechtmässigkeit der als Rechtsöffnungstitel dienenden Verfügungen bzw. des Verfahrens vor dem Handelsregisteramt bestreitet, wären entsprechende Einwände in einem Rechtmittelverfahren vorzutragen gewesen. Die Verfassungsbeschwerde enthält damit offensichtlich keine hinreichende Begründung. Auf sie ist im vereinfachten Verfahren gemäss Art. 117 i.V.m. Art. 108 Abs. 1 lit. b BGG durch das präsidierende Mitglied der Abteilung nicht einzutreten. Mit dem Entscheid in der Sache wird das Gesuch um aufschiebende Wirkung gegenstandslos.</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