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172/2023 vom 12. Oktober 2023</w:t>
      </w:r>
    </w:p>
    <w:p>
      <w:r>
        <w:t>Bundesgericht, 2023-10-12, DE</w:t>
      </w:r>
    </w:p>
    <w:p>
      <w:r>
        <w:rPr>
          <w:b/>
        </w:rPr>
        <w:t xml:space="preserve">Quelle: </w:t>
      </w:r>
      <w:r>
        <w:t>https://mcp.opencaselaw.ch/entscheid/bger_5D_172_2023</w:t>
      </w:r>
    </w:p>
    <w:p>
      <w:r>
        <w:t>FR: TF 5D 172/2023 du 12 octobre 2023</w:t>
      </w:r>
    </w:p>
    <w:p>
      <w:r>
        <w:t>IT: TF 5D 172/2023 del 12 ottobre 2023</w:t>
      </w:r>
    </w:p>
    <w:p>
      <w:pPr>
        <w:pStyle w:val="Heading2"/>
      </w:pPr>
      <w:r>
        <w:t>Regeste</w:t>
      </w:r>
    </w:p>
    <w:p>
      <w:r>
        <w:t>Definitive Rechtsöffnung | Schuldbetreibungs- und Konkursrecht</w:t>
      </w:r>
    </w:p>
    <w:p>
      <w:pPr>
        <w:pStyle w:val="Heading2"/>
      </w:pPr>
      <w:r>
        <w:t>Erwägungen</w:t>
      </w:r>
    </w:p>
    <w:p>
      <w:r>
        <w:rPr>
          <w:b/>
        </w:rPr>
        <w:t>E. 1</w:t>
      </w:r>
    </w:p>
    <w:p>
      <w:r>
        <w:t>Mit Urteil vom 8. August 2023 erteilte das Bezirksgericht Winterthur der Beschwerdegegnerin gegenüber dem Beschwerdeführer in der Betreibung Nr. xxx des Betreibungsamtes Winterthur-Stadt die definitive Rechtsöffnung für Fr. 3'000.-- nebst Zins sowie Entschädigung. Dagegen erhob der Beschwerdeführer am 19. August 2023 Beschwerde. Mit Beschluss und Urteil vom 31. August 2023 wies das Obergericht des Kantons Zürich die Beschwerde und das Gesuch um unentgeltliche Rechtspflege ab. Dagegen hat der Beschwerdeführer am 15. September 2023 Beschwerde in Zivilsachen oder subsidiäre Verfassungsbeschwerde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Der Beschwerdeführer setzt sich mit den Erwägungen des angefochtenen Entscheids nicht auseinander und er legt nicht dar, inwiefern verfassungsmässige Rechte verletzt worden sein sollen. Seine Ausführungen sind - wie bereits vor Obergericht - weitgehend unverständlich. Dies gilt insbesondere für seine Vorbringen, rechtsgültige Urteile zwängen ihn zum alleinigen Geldwäscher der Erbmasse und alle Urteile inklusive der vorliegenden Betreibung liefen im Lichte der Strafverfolgung zur Beihilfe der Steuerhinterziehungen auf. Zum Schutz vor Strafverfolgung beantragt der Beschwerdeführer sodann dem Bundesgericht die Abschreibung sämtlicher Forderungen. Soweit er sich dabei auf die in Betreibung gesetzten Forderungen beziehen sollte (dem Beschwerdeführer in den Urteilen 5A_247/2022 und 5A_248/2022 vom 22. April 2022 auferlegte Gerichtskosten) und er damit sinngemäss um Erlass dieser Forderungen ersuchen sollte, ist er darauf hinzuweisen, dass das BGG einen Erlass von auferlegten Gerichtskosten nicht vorsieht. Die Beschwerde enthält offensichtlich keine hinreichende Begründung. Das präsidierende Mitglied der Abteilung tritt auf sie im vereinfachten Verfahren nicht ein (Art. 117 i.V.m. Art. 108 Abs. 1 lit. b BGG ).</w:t>
      </w:r>
    </w:p>
    <w:p>
      <w:r>
        <w:rPr>
          <w:b/>
        </w:rPr>
        <w:t>E. 4</w:t>
      </w:r>
    </w:p>
    <w:p>
      <w:r>
        <w:t>Es rechtfertigt sich ausnahmsweise, auf die Erhebung von Gerichtskosten zu verzichten ( Art. 66 Abs. 1 BGG ). Das Gesuch um unentgeltliche Rechtspflege wird damit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