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5D_172/2021 vom 23. September 2021</w:t>
      </w:r>
    </w:p>
    <w:p>
      <w:r>
        <w:t>Bundesgericht, 2021-09-23, DE</w:t>
      </w:r>
    </w:p>
    <w:p>
      <w:r>
        <w:rPr>
          <w:b/>
        </w:rPr>
        <w:t xml:space="preserve">Quelle: </w:t>
      </w:r>
      <w:r>
        <w:t>https://mcp.opencaselaw.ch/entscheid/bger_5D_172_2021</w:t>
      </w:r>
    </w:p>
    <w:p>
      <w:r>
        <w:t>FR: TF 5D_172/2021 du 23 septembre 2021</w:t>
      </w:r>
    </w:p>
    <w:p>
      <w:r>
        <w:t>IT: TF 5D_172/2021 del 23 settembre 2021</w:t>
      </w:r>
    </w:p>
    <w:p>
      <w:pPr>
        <w:pStyle w:val="Heading2"/>
      </w:pPr>
      <w:r>
        <w:t>Erwägungen</w:t>
      </w:r>
    </w:p>
    <w:p>
      <w:r>
        <w:rPr>
          <w:b/>
        </w:rPr>
        <w:t>E. 1</w:t>
      </w:r>
    </w:p>
    <w:p>
      <w:r>
        <w:t>Der Streitwert beträgt weniger als Fr. 30'000.--, weshalb nur die subsidiäre Verfassungsbeschwerde zur Verfügung steht (Art. Art. 74 Abs. 1 lit. b und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Die Verletzung verfassungsmässiger Rechte wird weder explizit angerufen noch der Sache nach begründet. Die (im Übrigen polemischen) Ausführungen bleiben appellatorisch und gehen ohnehin an den Nichteintretenserwägungen des angefochtenen Entscheides vorbei, indem keinerlei konkreter Bezug auf die prozessualen Folgen des Nichtleistens des Kostenvorschusses genommen wird.</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