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5D_172/2017 vom 10. Oktober 2017</w:t>
      </w:r>
    </w:p>
    <w:p>
      <w:r>
        <w:t>Bundesgericht, 2017-10-10, FR</w:t>
      </w:r>
    </w:p>
    <w:p>
      <w:r>
        <w:rPr>
          <w:b/>
        </w:rPr>
        <w:t xml:space="preserve">Quelle: </w:t>
      </w:r>
      <w:r>
        <w:t>https://mcp.opencaselaw.ch/entscheid/bger_5D_172_2017</w:t>
      </w:r>
    </w:p>
    <w:p>
      <w:r>
        <w:t>FR: TF 5D_172/2017 du 10 octobre 2017</w:t>
      </w:r>
    </w:p>
    <w:p>
      <w:r>
        <w:t>IT: TF 5D_172/2017 del 10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16 août 2017 (n° 102 2017 229), la IIe Cour d'appel civil du Tribunal cantonal de l'État de Fribourg a rejeté le recours interjeté le 29 juillet 2017 par A.________ et confirmé la décision rendue le 6 juillet 2017 par le Président du tribunal civil de l'arrondissement de la Sarine prononçant la mainlevée définitive de l'opposition formée par A.________ à l'encontre du commandement de payer le montant de xx'xxx fr., notifié à l'instance de la Confédération suisse, représentée par la Caisse du Tribunal fédéral.</w:t>
      </w:r>
    </w:p>
    <w:p>
      <w:r>
        <w:rPr>
          <w:b/>
        </w:rPr>
        <w:t>E. 2</w:t>
      </w:r>
    </w:p>
    <w:p>
      <w:r>
        <w:t>Par acte du 22 septembre 2017, A.________ exerce un recours constitutionnel au Tribunal fédéral, comprenant trois requêtes de mesures provisionnelles urgentes, en particulier l'octroi de l'effet suspensif à son recours.</w:t>
      </w:r>
    </w:p>
    <w:p>
      <w:r>
        <w:t>Dans son écriture, le recourant discute plusieurs anciennes causes le concernant jugées par le Tribunal fédéral (5A_776/2014; 5D_168/2017 et 5D_169/2017), ainsi que d'autres affaires traitées par le Tribunal cantonal, mais il ne soulève, avec clarté et précision, aucun grief -</w:t>
      </w:r>
    </w:p>
    <w:p>
      <w:r>
        <w:t>a fortiori de nature constitutionnelle - à l'encontre de la motivation de la décision cantonale querellée. Il s'ensuit que le mémoire de recours ne satisfait nullement aux exigences accrues de motivation posées par les art. 106 al. 2 et 116 LTF , par renvoi de l' art. 117 LTF 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b et c LTF, par renvoi de l' art. 117 LTF . L'issue du recours rend sans objet les trois requêtes de mesures provisionnelles du recourant, dont la demande d'effet suspensif.</w:t>
      </w:r>
    </w:p>
    <w:p>
      <w:r>
        <w:rPr>
          <w:b/>
        </w:rPr>
        <w:t>E. 3</w:t>
      </w:r>
    </w:p>
    <w:p>
      <w:r>
        <w:t>Les frais judiciaires, arrêtés à 1'000 fr., sont mis à la charge du recourant ( art. 66 al. 1 LTF ). Il ne lui est pas alloué d' " indemnisation ".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