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5D_170/2020 vom 3. August 2020</w:t>
      </w:r>
    </w:p>
    <w:p>
      <w:r>
        <w:t>Bundesgericht, 2020-08-03, DE</w:t>
      </w:r>
    </w:p>
    <w:p>
      <w:r>
        <w:rPr>
          <w:b/>
        </w:rPr>
        <w:t xml:space="preserve">Quelle: </w:t>
      </w:r>
      <w:r>
        <w:t>https://mcp.opencaselaw.ch/entscheid/bger_5D_170_2020</w:t>
      </w:r>
    </w:p>
    <w:p>
      <w:r>
        <w:t>FR: TF 5D_170/2020 du 3 août 2020</w:t>
      </w:r>
    </w:p>
    <w:p>
      <w:r>
        <w:t>IT: TF 5D_170/2020 del 3 agosto 2020</w:t>
      </w:r>
    </w:p>
    <w:p>
      <w:pPr>
        <w:pStyle w:val="Heading2"/>
      </w:pPr>
      <w:r>
        <w:t>Erwägungen</w:t>
      </w:r>
    </w:p>
    <w:p>
      <w:r>
        <w:rPr>
          <w:b/>
        </w:rPr>
        <w:t>E. 1</w:t>
      </w:r>
    </w:p>
    <w:p>
      <w:r>
        <w:t>Der Streitwert beträgt weniger als Fr. 30'000.--. Deshalb steht die Beschwerde in Zivilsachen, worauf in der Rechtsmittelbelehrung hingewiesen wird, nicht offen ( Art. 74 Abs. 1 lit. b BGG ), sondern nur die subsidiäre Verfassungsbeschwerde ( Art. 113 BGG ).</w:t>
      </w:r>
    </w:p>
    <w:p>
      <w:r>
        <w:t>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2</w:t>
      </w:r>
    </w:p>
    <w:p>
      <w:r>
        <w:t>Das Obergericht hat in Bezug auf das Anliegen der erneuten Eröffnung des erstinstanzlichen Entscheides mit neuerlicher Auslösung der Beschwerdefrist erwogen, dass diese als gesetzliche Frist nicht verlängert werden könne und die in der Sache nicht begründete Beschwerde am letzten Tag der Frist eingereicht worden sei und dass im Übrigen auch keine Nichtigkeitsgründe im Zusammenhang mit dem sich auf die rechtskräftige Steuerveranlagung stützenden Rechtsöffnungsentscheid ersichtlich seien.</w:t>
      </w:r>
    </w:p>
    <w:p>
      <w:r>
        <w:rPr>
          <w:b/>
        </w:rPr>
        <w:t>E. 3</w:t>
      </w:r>
    </w:p>
    <w:p>
      <w:r>
        <w:t>Weder nennt die Beschwerdeführerin eine Verfassungsnorm, welche verletzt sein soll, noch setzt sich die Beschwerdeführerin in der Sache mit den Erwägungen des angefochtenen Entscheides auseinander. Vielmehr bringt sie wiederum vor, dass sie beim Bezirksgericht Einsicht in die Akten nehmen möchte, und macht geltend, diese seien damals schon beim Obergericht im Archiv gewesen und es werde ein gefährlicher Präzedenzfall geschaffen, wenn man dies den kantonalen Gerichten erlaube. Damit werden keine Verfassungsverletzungen aufgezeigt.</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