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5D_16/2026 vom 30. April 2026</w:t>
      </w:r>
    </w:p>
    <w:p>
      <w:r>
        <w:t>Bundesgericht, 2026-04-30, DE</w:t>
      </w:r>
    </w:p>
    <w:p>
      <w:r>
        <w:rPr>
          <w:b/>
        </w:rPr>
        <w:t xml:space="preserve">Quelle: </w:t>
      </w:r>
      <w:r>
        <w:t>https://mcp.opencaselaw.ch/entscheid/bger_5D_16_2026</w:t>
      </w:r>
    </w:p>
    <w:p>
      <w:r>
        <w:t>FR: TF 5D_16/2026 du 30 avril 2026</w:t>
      </w:r>
    </w:p>
    <w:p>
      <w:r>
        <w:t>IT: TF 5D_16/2026 del 30 aprile 2026</w:t>
      </w:r>
    </w:p>
    <w:p>
      <w:pPr>
        <w:pStyle w:val="Heading2"/>
      </w:pPr>
      <w:r>
        <w:t>Erwägungen</w:t>
      </w:r>
    </w:p>
    <w:p>
      <w:r>
        <w:rPr>
          <w:b/>
        </w:rPr>
        <w:t>E. 1</w:t>
      </w:r>
    </w:p>
    <w:p>
      <w:r>
        <w:t>Anfechtungsobjekt bildet ein kantonal letztinstanzlicher Nichteintretensentscheid betreffend ein Fristwiederherstellungsgesuch im Kontext mit Organisationsmängeln eines im Handelsregister eingetragenen Vereins ( Art. 72 Abs. 1 und Art. 75 Abs. 1 BGG ), welcher gemäss den Feststellungen im angefochtenen Entscheid einen Streitwert von Fr. 10'000.-- aufweist.</w:t>
      </w:r>
    </w:p>
    <w:p>
      <w:r>
        <w:t>Das bedeutet zum einen, dass der Anfechtungsgegenstand auf die Frage beschränkt ist, ob das Obergericht zufolge verspäteter Einreichung auf die Berufung betreffend das Fristwiederherstellungsgesuch nicht eintreten durfte ( BGE 135 II 38 E. 1.2; 139 II 233 E. 3.2). Zum anderen hat der weniger als Fr. 30'000.-- betragende Streitwert zur Folge, dass nicht die Beschwerde in Zivilsache, sondern die subsidiäre Verfassungsbeschwerde gegeben ist ( Art. 74 Abs. 1 lit. b und Art. 113 BGG ), mit welcher einzig die Verletzung verfassungsmässiger Rechte gerügt werden kann ( Art. 116 BGG ), wofür das strenge Rügeprinzip gilt (Art. 106 Abs. 2 i.V.m. Art. 117 BGG ).</w:t>
      </w:r>
    </w:p>
    <w:p>
      <w:r>
        <w:rPr>
          <w:b/>
        </w:rPr>
        <w:t>E. 2</w:t>
      </w:r>
    </w:p>
    <w:p>
      <w:r>
        <w:t>Die Beschwerde bezieht sich weder in den Rechtsbegehren noch in der Begründung auf die Frage der Fristwahrung bei der Einreichung der Berufung, sondern die Ausführungen betreffen die Sache selbst (bereits vor der erstinstanzlichen Verfügung sei beim Handelsregister ein Eintragungsgesuch anhängig gemacht worden, woraus die Einzelzeichnungsberechtigung von C.________ hervorgehe und womit alle Organisationsmängel behoben worden seien) und sie stehen somit ausserhalb des möglichen Anfechtungsgegenstandes. Ohnehin werden keine verfassungsmässigen Rechte als verletzt angerufen und es wird nicht dargelegt, inwiefern solche durch den angefochtenen Nichteintretensentscheid verletzt sein könnten.</w:t>
      </w:r>
    </w:p>
    <w:p>
      <w:r>
        <w:t>Vor diesem Hintergrund können die Fragen rund um die Zeichnungsberechtigung und Vertretungsmacht als Voraussetzung für eine gültige Beschwerdeerhebung offen bleiben.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Indes ist umständehalber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