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5D_16/2023 vom 24. Februar 2023</w:t>
      </w:r>
    </w:p>
    <w:p>
      <w:r>
        <w:t>Bundesgericht, 2023-02-24, FR</w:t>
      </w:r>
    </w:p>
    <w:p>
      <w:r>
        <w:rPr>
          <w:b/>
        </w:rPr>
        <w:t xml:space="preserve">Quelle: </w:t>
      </w:r>
      <w:r>
        <w:t>https://mcp.opencaselaw.ch/entscheid/bger_5D_16_2023</w:t>
      </w:r>
    </w:p>
    <w:p>
      <w:r>
        <w:t>FR: TF 5D_16/2023 du 24 février 2023</w:t>
      </w:r>
    </w:p>
    <w:p>
      <w:r>
        <w:t>IT: TF 5D_16/2023 del 24 febbraio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4 août 2022, la Juge de paix du district de la Broye-Vully a levé définitivement, à concurrence de 16'164 fr. plus intérêts à 3,5 % l'an dès le 10 novembre 2021 et de 1'259 fr. 65 sans intérêts, l'opposition formée par A.________ au commandement de payer que lui a fait notifier l'État de Vaud (</w:t>
      </w:r>
    </w:p>
    <w:p>
      <w:r>
        <w:t>poursuite n° xxx de l'Office des poursuites du district de la Broye-Vully).</w:t>
      </w:r>
    </w:p>
    <w:p>
      <w:r>
        <w:t>Par arrêt du 9 décembre 2022, la Cour des poursuites et faillites du Tribunal cantonal vaudois a déclaré irrecevable le recours interjeté par le poursuivi.</w:t>
      </w:r>
    </w:p>
    <w:p>
      <w:r>
        <w:rPr>
          <w:b/>
        </w:rPr>
        <w:t>E. 2</w:t>
      </w:r>
    </w:p>
    <w:p>
      <w:r>
        <w:t>Par écriture expédiée le 20 janvier 2023, le poursuivi forme un recours au Tribunal fédéral contre l'arrêt cantonal; il demande que ses</w:t>
      </w:r>
    </w:p>
    <w:p>
      <w:r>
        <w:t>"impôts soient déduits de ce que l'Etat de Vaud [lui]</w:t>
      </w:r>
    </w:p>
    <w:p>
      <w:r>
        <w:t>doit ".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Vu l'insuffisance de la valeur litigieuse et l'absence de question juridique de principe (art. 74 al. 1 let. b et al. 2 let. a LTF), l'écriture du recourant est traitée en tant que recours constitutionnel subsidiaire au sens des art. 113 ss LTF . Il apparaît superflu de vérifier les autres conditions de recevabilité, ce procédé étant voué à l'échec.</w:t>
      </w:r>
    </w:p>
    <w:p>
      <w:r>
        <w:rPr>
          <w:b/>
        </w:rPr>
        <w:t>E. 4.1</w:t>
      </w:r>
    </w:p>
    <w:p>
      <w:r>
        <w:t>En l'espèce, la cour cantonale a constaté que le recourant n'a pas formulé de conclusions, ni articulé de griefs à l'encontre des motifs du premier juge, selon lesquels le poursuivant était au bénéfice d'un titre à la mainlevée définitive, alors que le poursuivi n'avait soulevé aucun moyen libératoire. Partant, elle a déclaré le recours irrecevable.</w:t>
      </w:r>
    </w:p>
    <w:p>
      <w:r>
        <w:rPr>
          <w:b/>
        </w:rPr>
        <w:t>E. 4.2</w:t>
      </w:r>
    </w:p>
    <w:p>
      <w:r>
        <w:t>Le recourant se réfère à des "</w:t>
      </w:r>
    </w:p>
    <w:p>
      <w:r>
        <w:t>litiges avec l'Etat de Vaud " depuis de nombreuses années, dénonce de "</w:t>
      </w:r>
    </w:p>
    <w:p>
      <w:r>
        <w:t>nombreuses injustices " commises à son préjudice - comme le confirment les courriers envoyés en 2010 et en 2012 à "</w:t>
      </w:r>
    </w:p>
    <w:p>
      <w:r>
        <w:t>Pascal Broulis " et au "</w:t>
      </w:r>
    </w:p>
    <w:p>
      <w:r>
        <w:t>département de la santé " - et désire que ses "</w:t>
      </w:r>
    </w:p>
    <w:p>
      <w:r>
        <w:t>revendications soient prises au sérieux ".</w:t>
      </w:r>
    </w:p>
    <w:p>
      <w:r>
        <w:t>Autant qu'elle est compréhensible, une telle argumentation, dépourvue de la moindre critique de nature constitutionnelle ( art. 116 LTF ) contre le motif d'irrecevabilité de l'autorité précédente, ne répond aucunement à l'exigence de motivation prévue par l' art. 106 al. 2 LTF (par renvoi de l' art. 117 LTF ). Il s'ensuit que le recours est irrecevable ( ATF 136 I 332 consid. 2.1 et les citations).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et art. 117 LTF ), aux frais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