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5D_169/2023 vom 19. Oktober 2023</w:t>
      </w:r>
    </w:p>
    <w:p>
      <w:r>
        <w:t>Bundesgericht, 2023-10-19, DE</w:t>
      </w:r>
    </w:p>
    <w:p>
      <w:r>
        <w:rPr>
          <w:b/>
        </w:rPr>
        <w:t xml:space="preserve">Quelle: </w:t>
      </w:r>
      <w:r>
        <w:t>https://mcp.opencaselaw.ch/entscheid/bger_5D_169_2023</w:t>
      </w:r>
    </w:p>
    <w:p>
      <w:r>
        <w:t>FR: TF 5D_169/2023 du 19 octobre 2023</w:t>
      </w:r>
    </w:p>
    <w:p>
      <w:r>
        <w:t>IT: TF 5D_169/2023 del 19 ottobre 2023</w:t>
      </w:r>
    </w:p>
    <w:p>
      <w:pPr>
        <w:pStyle w:val="Heading2"/>
      </w:pPr>
      <w:r>
        <w:t>Erwägungen</w:t>
      </w:r>
    </w:p>
    <w:p>
      <w:r>
        <w:rPr>
          <w:b/>
        </w:rPr>
        <w:t>E. 1</w:t>
      </w:r>
    </w:p>
    <w:p>
      <w:r>
        <w:t>Mit Urteil und Verfügung vom 1. Juni 2023 erteilte das Bezirksgericht Meilen dem Kanton Zürich gegenüber der Beschwerdeführerin in der Betreibung Nr. xxx des Betreibungsamtes Küsnacht-Zollikon-Zumikon die definitive Rechtsöffnung für Fr. 1'440.-- und Kosten. Das Gesuch der Beschwerdeführerin um unentgeltliche Rechtspflege wies es ab.</w:t>
      </w:r>
    </w:p>
    <w:p>
      <w:r>
        <w:t>Dagegen erhob die Beschwerdeführerin am 12. Juni 2023 Beschwerde. Das Obergericht legte die beiden Verfahren RT230082 für die unentgeltliche Rechtspflege und RT230083 für die definitive Rechtsöffnung an. Mit Beschluss und Urteil vom 18. August 2023 im Verfahren RT230082 wies das Obergericht die Beschwerde ab, soweit es darauf eintrat, und es wies das Gesuch der Beschwerdeführerin um unentgeltliche Rechtspflege für das Beschwerdeverfahren ab.</w:t>
      </w:r>
    </w:p>
    <w:p>
      <w:r>
        <w:t>Dagegen hat die Beschwerdeführerin am 11. September 2023 (Postaufgabe) Beschwerde "nach Art. 72 BGG " an das Bundesgericht erhoben.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 Art. 72 ff. BGG ) unzulässig. Die Eingabe ist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 an das Bundesgericht stellt zu einem grossen Teil eine wörtliche Wiederholung der Beschwerde an das Obergericht dar. Auf diese Weise setzt sich die Beschwerdeführerin gerade nicht mit den Erwägungen des angefochtenen Entscheids auseinander. Dies genügt den Rügeanforderungen nicht ( BGE 134 II 244 E. 2.3). Im Übrigen genügt es den Rügeanforderungen auch nicht, wenn die Beschwerdeführerin dem Obergericht in abstrakter Weise vorwirft, nicht auf ihre Argumente eingegangen zu sein oder in willkürlicher Weise eine Partei zu bevorzugen.</w:t>
      </w:r>
    </w:p>
    <w:p>
      <w:r>
        <w:t>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