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5D_167/2017 vom 20. September 2017</w:t>
      </w:r>
    </w:p>
    <w:p>
      <w:r>
        <w:t>Bundesgericht, 2017-09-20, IT</w:t>
      </w:r>
    </w:p>
    <w:p>
      <w:r>
        <w:rPr>
          <w:b/>
        </w:rPr>
        <w:t xml:space="preserve">Quelle: </w:t>
      </w:r>
      <w:r>
        <w:t>https://mcp.opencaselaw.ch/entscheid/bger_5D_167_2017</w:t>
      </w:r>
    </w:p>
    <w:p>
      <w:r>
        <w:t>FR: TF 5D_167/2017 du 20 septembre 2017</w:t>
      </w:r>
    </w:p>
    <w:p>
      <w:r>
        <w:t>IT: TF 5D_167/2017 del 20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entrambi patrocinati dall'avv. C.________,</w:t>
      </w:r>
    </w:p>
    <w:p>
      <w:r>
        <w:rPr>
          <w:b/>
        </w:rPr>
        <w:t>E. 3</w:t>
      </w:r>
    </w:p>
    <w:p>
      <w:r>
        <w:t>C.________,</w:t>
      </w:r>
    </w:p>
    <w:p>
      <w:r>
        <w:t>ricorrenti,</w:t>
      </w:r>
    </w:p>
    <w:p>
      <w:r>
        <w:t>contro</w:t>
      </w:r>
    </w:p>
    <w:p>
      <w:r>
        <w:t>III Camera civile del Tribunale d'appello del Cantone Ticino, via Pretorio 16, 6900 Lugano,</w:t>
      </w:r>
    </w:p>
    <w:p>
      <w:r>
        <w:t>opponente.</w:t>
      </w:r>
    </w:p>
    <w:p>
      <w:r>
        <w:t>Oggetto</w:t>
      </w:r>
    </w:p>
    <w:p>
      <w:r>
        <w:t>sanzione disciplinare,</w:t>
      </w:r>
    </w:p>
    <w:p>
      <w:r>
        <w:t>ricorso contro la sentenza emanata il 26 luglio 2017</w:t>
      </w:r>
    </w:p>
    <w:p>
      <w:r>
        <w:t>dalla III Camera civile del Tribunale d'appello del Cantone Ticino.</w:t>
      </w:r>
    </w:p>
    <w:p>
      <w:r>
        <w:t>Considerando:</w:t>
      </w:r>
    </w:p>
    <w:p>
      <w:r>
        <w:t>che con petizione 28 settembre 2015 D.________ ha promosso nei confronti di E.________, A.________ e B.________ un'azione di divisione della successione relitta della defunta F.________ dinanzi al Pretore del Distretto di Lugano;</w:t>
      </w:r>
    </w:p>
    <w:p>
      <w:r>
        <w:t>che con sentenza 26 luglio 2017 la III Camera civile del Tribunale d'appello del Cantone Ticino ha respinto, nella misura della sua ammissibilità, il reclamo presentato da D.________ contro l'ordinanza pretorile sulle prove del 18 aprile 2017 (dispositivo n. 1) e ha anche inflitto a A.________, a B.________ e al loro patrocinatore avv. C.________ la misura disciplinare dell'ammonimento per le affermazioni contenute nelle loro osservazioni al reclamo (dispositivo n. 2);</w:t>
      </w:r>
    </w:p>
    <w:p>
      <w:r>
        <w:t>che con ricorso sussidiario in materia costituzionale 14 settembre 2017 A.________, B.________ e l'avv. C.________ hanno impugnato il dispositivo n. 2 di tale sentenza dinanzi al Tribunale federale, chiedendo l'annullamento della sanzione disciplinare;</w:t>
      </w:r>
    </w:p>
    <w:p>
      <w:r>
        <w:t>che il giudizio impugnato non pone fine al procedimento civile e costituisce pertanto una decisione incidentale ai sensi dei combinati art. 117 e 93 LTF (v. sentenza 4A_510/2014 del 23 giugno 2015 consid. 2.2.1, non pubblicato in DTF 141 III 265 ), la quale è unicamente suscettiva di un ricorso immediato al Tribunale federale se può causare un pregiudizio irreparabile ( art. 93 cpv. 1 lett. a LTF ) oppure se l'accoglimento del ricorso comporterebbe immediatamente una decisione finale consentendo di evitare una procedura probatoria defatigante o dispendiosa ( art. 93 cpv. 1 lett. b LTF );</w:t>
      </w:r>
    </w:p>
    <w:p>
      <w:r>
        <w:t>che spetta alla parte ricorrente spiegare perché sono date le condizioni di cui all' art. 93 cpv. 1 LTF , fatti salvi i casi in cui queste risultano in modo manifesto dalla decisione impugnata o dalla natura della causa ( DTF 138 III 46 consid. 1.2 con rinvii);</w:t>
      </w:r>
    </w:p>
    <w:p>
      <w:r>
        <w:t>che nella presente fattispecie il sussistere dei presupposti previsti dalla predetta norma per un ricorso immediato al Tribunale federale non è ravvisabile né i ricorrenti spendono una parola per illustrarne l'esistenza;</w:t>
      </w:r>
    </w:p>
    <w:p>
      <w:r>
        <w:t>che il ricorso si rivela quindi manifestamente inammissibile e può essere deciso nella procedura semplificata dei combinati art. 117 e 108 cpv. 1 lett. a LTF ;</w:t>
      </w:r>
    </w:p>
    <w:p>
      <w:r>
        <w:t>che le spese giudiziarie seguono la soccombenza ( art. 66 cpv.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