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166/2022 vom 15. November 2022</w:t>
      </w:r>
    </w:p>
    <w:p>
      <w:r>
        <w:t>Bundesgericht, 2022-11-15, DE</w:t>
      </w:r>
    </w:p>
    <w:p>
      <w:r>
        <w:rPr>
          <w:b/>
        </w:rPr>
        <w:t xml:space="preserve">Quelle: </w:t>
      </w:r>
      <w:r>
        <w:t>https://mcp.opencaselaw.ch/entscheid/bger_5D_166_2022</w:t>
      </w:r>
    </w:p>
    <w:p>
      <w:r>
        <w:t>FR: TF 5D 166/2022 du 15 novembre 2022</w:t>
      </w:r>
    </w:p>
    <w:p>
      <w:r>
        <w:t>IT: TF 5D 166/2022 del 15 novembre 2022</w:t>
      </w:r>
    </w:p>
    <w:p>
      <w:pPr>
        <w:pStyle w:val="Heading2"/>
      </w:pPr>
      <w:r>
        <w:t>Regeste</w:t>
      </w:r>
    </w:p>
    <w:p>
      <w:r>
        <w:t>Definitive Rechtsöffnung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Streitwert beträgt weniger als Fr. 30'000.--, weshalb die Beschwerde in Zivilsachen nicht gegeben ist (vgl. Art. 74 Abs. 1 lit. b BGG ), sondern nur die subsidiäre Verfassungsbeschwerde zur Verfügung steht ( Art. 113 BGG ), mit welcher einzig die Verletzung verfassungsmässiger Rechte gerügt werden kann ( Art. 116 BGG ), wofür das strenge Rügeprinzip gilt (Art. 106 Abs. 2 i.V.m. Art. 117 BGG ).</w:t>
      </w:r>
    </w:p>
    <w:p>
      <w:r>
        <w:rPr>
          <w:b/>
        </w:rPr>
        <w:t>E. 2</w:t>
      </w:r>
    </w:p>
    <w:p>
      <w:r>
        <w:t>Die Beschwerde hat sich auf den Anfechtungsgegenstand (Rechtsöffnung für Fr. 300.--) zu beschränken; soweit mehr oder anderes verlangt wird oder neue Rechtsbegehren gestellt werden, ist dies unzulässig ( Art. 99 Abs. 2 BGG ; BGE 136 II 457 E. 4.2 ; 142 I 155 E. 4.4.2). Der Beschwerdeführer stellt diesbezüglich kein Rechtsbegehren und auch die weitschweifige Beschwerdebegründung bezieht sich - abgesehen davon, dass keine substanziierten Verfassungsverletzungen geltend gemacht werden - nicht auf den Anfechtungsgegenstand; vielmehr äussert er sich zu einer Vielzahl von Dingen, namentlich zu seinem Leben und zu seinen finanziellen Verhältnissen.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im vereinfachten Verfahren nach Art. 108 Abs. 1 lit. b BGG nicht einzutreten ist.</w:t>
      </w:r>
    </w:p>
    <w:p>
      <w:r>
        <w:rPr>
          <w:b/>
        </w:rPr>
        <w:t>E. 4</w:t>
      </w:r>
    </w:p>
    <w:p>
      <w:r>
        <w:t>Wie die vorstehenden Erwägungen zeigen, konnte der Beschwerde von Anfang an kein Erfolg beschieden sein, weshalb es an den materiellen Voraussetzungen der unentgeltlichen Rechtspflege fehlt ( Art. 64 Abs. 1 BGG ) und das entsprechende Gesuch abzuweisen ist.</w:t>
      </w:r>
    </w:p>
    <w:p>
      <w:r>
        <w:rPr>
          <w:b/>
        </w:rPr>
        <w:t>E. 5</w:t>
      </w:r>
    </w:p>
    <w:p>
      <w:r>
        <w:t>Angesichts der konkreten Umstände ist auf die Erhebung von Gerichtskosten ausnahmsweise zu verzichten ( Art. 66 Abs. 1 BGG ). 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