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166/2020 vom 7. September 2020</w:t>
      </w:r>
    </w:p>
    <w:p>
      <w:r>
        <w:t>Bundesgericht, 2020-09-07, IT</w:t>
      </w:r>
    </w:p>
    <w:p>
      <w:r>
        <w:rPr>
          <w:b/>
        </w:rPr>
        <w:t xml:space="preserve">Quelle: </w:t>
      </w:r>
      <w:r>
        <w:t>https://mcp.opencaselaw.ch/entscheid/bger_5D_166_2020</w:t>
      </w:r>
    </w:p>
    <w:p>
      <w:r>
        <w:t>FR: TF 5D 166/2020 du 7 septembre 2020</w:t>
      </w:r>
    </w:p>
    <w:p>
      <w:r>
        <w:t>IT: TF 5D 166/2020 del 7 settembre 2020</w:t>
      </w:r>
    </w:p>
    <w:p>
      <w:pPr>
        <w:pStyle w:val="Heading2"/>
      </w:pPr>
      <w:r>
        <w:t>Regeste</w:t>
      </w:r>
    </w:p>
    <w:p>
      <w:r>
        <w:t>exequatur | Diritto delle esecuzioni e del fallimento</w:t>
      </w:r>
    </w:p>
    <w:p>
      <w:pPr>
        <w:pStyle w:val="Heading2"/>
      </w:pPr>
      <w:r>
        <w:t>Erwägungen</w:t>
      </w:r>
    </w:p>
    <w:p>
      <w:r>
        <w:rPr>
          <w:b/>
        </w:rPr>
        <w:t>E. 1</w:t>
      </w:r>
    </w:p>
    <w:p>
      <w:r>
        <w:t>Con due decisioni 6 febbraio 2020 il Pretore del Distretto di Lugano ha accolto due istanze del Condominio C.________ volte a ottenere, nei confronti di A.________ e B.________, il riconoscimento e l'esecutività in Svizzera di un decreto ingiuntivo del 10 luglio 2018 del Tribunale ordinario di Como (relativo a una pretesa di EUR 12'049.24). Mediante reclamo 2 marzo 2020 A.________ e B.________ hanno impugnato le due decisioni pretorili. Con disposizione ordinatoria processuale 5 marzo 2020, in applicazione dell' art. 132 cpv. 1 CPC (RS 272), il Presidente della II Camera civile del Tribunale d'appello del Cantone Ticino ha imposto loro un termine scadente il 16 marzo 2020 per ripresentare il reclamo firmato da entrambi (o per produrre una procura di B.________ a favore di A.________) e per produrre una decisione pretorile che era mancante, con l'avvertenza che in caso di omissione l'atto sarebbe stato ritenuto come non presentato. Mediante scritto 3 aprile 2020 (spedito il giorno successivo) A.________ e B.________ hanno chiesto una proroga del termine, spiegando di aver ricevuto la raccomandata 5 marzo 2020 soltanto il 3 aprile 2020 a causa della loro assenza dal domicilio. Con sentenza 18 giugno 2020 la II Camera civile del Tribunale d'appello del Cantone Ticino ha dichiarato irricevibile il reclamo, osservando che la domanda di proroga non poteva essere accolta dato che era stata presentata dopo la scadenza del termine (v. art. 144 cpv. 2 CPC ) e che non vi erano i presupposti per concedere una restituzione del termine (v. art. 148 CPC ).</w:t>
      </w:r>
    </w:p>
    <w:p>
      <w:r>
        <w:rPr>
          <w:b/>
        </w:rPr>
        <w:t>E. 2</w:t>
      </w:r>
    </w:p>
    <w:p>
      <w:r>
        <w:t>Mediante ricorso 4 luglio 2020 A.________ e B.________ hanno impugnato la sentenza cantonale dinanzi al Tribunale federale, chiedendo in sostanza di restituire loro il predetto termine. Non sono state chieste determinazioni.</w:t>
      </w:r>
    </w:p>
    <w:p>
      <w:r>
        <w:rPr>
          <w:b/>
        </w:rPr>
        <w:t>E. 3</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 Nell'impugnativa all'esame, i ricorrenti segnalano la violazione di alcune garanzie costituzionali (in particolare dell' art. 29 cpv. 1 e 2 Cost. ), ma le loro censure - generiche e prive di un serio confronto con i considerandi dell'impugnato giudizio - non soddisfano le severe esigenze di motivazione dei combinati art. 117 e 106 cpv. 2 LTF .</w:t>
      </w:r>
    </w:p>
    <w:p>
      <w:r>
        <w:rPr>
          <w:b/>
        </w:rPr>
        <w:t>E. 4</w:t>
      </w:r>
    </w:p>
    <w:p>
      <w:r>
        <w:t>Da quanto precede discende che il ricorso, manifestamente non motivato in modo sufficiente, può essere deciso nella procedura semplificata dei combinati art. 117 e 108 cpv. 1 lett. b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