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165/2021 vom 22. September 2021</w:t>
      </w:r>
    </w:p>
    <w:p>
      <w:r>
        <w:t>Bundesgericht, 2021-09-22, DE</w:t>
      </w:r>
    </w:p>
    <w:p>
      <w:r>
        <w:rPr>
          <w:b/>
        </w:rPr>
        <w:t xml:space="preserve">Quelle: </w:t>
      </w:r>
      <w:r>
        <w:t>https://mcp.opencaselaw.ch/entscheid/bger_5D_165_2021</w:t>
      </w:r>
    </w:p>
    <w:p>
      <w:r>
        <w:t>FR: TF 5D 165/2021 du 22 septembre 2021</w:t>
      </w:r>
    </w:p>
    <w:p>
      <w:r>
        <w:t>IT: TF 5D 165/2021 del 22 settembre 2021</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nicht die Beschwerde in Zivilsachen, sondern nur die subsidiäre Verfassungsbeschwerde möglich ist ( Art. 74 Abs. 1 lit. b und Art. 113 BGG ). Mit ihr kann einzig die Verletzung verfassungsmässiger Rechte gerügt werden ( Art. 116 BGG ), wofür das strenge Rügeprinzip gilt (Art. 106 Abs. 2 i.V.m. Art. 117 BGG ).</w:t>
      </w:r>
    </w:p>
    <w:p>
      <w:r>
        <w:rPr>
          <w:b/>
        </w:rPr>
        <w:t>E. 2</w:t>
      </w:r>
    </w:p>
    <w:p>
      <w:r>
        <w:t>Die Beschwerde enthält weder ein Rechtsbegehren ( Art. 42 Abs. 1 BGG ) noch eine auf den Nichteintretensentscheid Bezug nehmende Begründung, geschweige denn eine Darlegung, welche verfassungsmässigen Rechte und inwiefern diese verletzt sein sollen, sondern einzig die sinngemässe Kritik, von der Steuerverwaltung geplündert und beraubt und grundlos in der Würde verletzt zu werden, sowie in der Sache nicht nachvollziehbare Ausführungen zu einer Erbschaftsangelegenheit.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