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5D_165/2019 vom 12. November 2019</w:t>
      </w:r>
    </w:p>
    <w:p>
      <w:r>
        <w:t>Bundesgericht, 2019-11-12, DE</w:t>
      </w:r>
    </w:p>
    <w:p>
      <w:r>
        <w:rPr>
          <w:b/>
        </w:rPr>
        <w:t xml:space="preserve">Quelle: </w:t>
      </w:r>
      <w:r>
        <w:t>https://mcp.opencaselaw.ch/entscheid/bger_5D_165_2019</w:t>
      </w:r>
    </w:p>
    <w:p>
      <w:r>
        <w:t>FR: TF 5D_165/2019 du 12 novembre 2019</w:t>
      </w:r>
    </w:p>
    <w:p>
      <w:r>
        <w:t>IT: TF 5D_165/2019 del 12 novembre 2019</w:t>
      </w:r>
    </w:p>
    <w:p>
      <w:pPr>
        <w:pStyle w:val="Heading2"/>
      </w:pPr>
      <w:r>
        <w:t>Erwägungen</w:t>
      </w:r>
    </w:p>
    <w:p>
      <w:r>
        <w:rPr>
          <w:b/>
        </w:rPr>
        <w:t>E. 1.1</w:t>
      </w:r>
    </w:p>
    <w:p>
      <w:r>
        <w:t>Der Kosten- und Entschädigungspunkt des vorinstanzlichen Entscheids kann mit dem für die Hauptsache zulässigen Rechtsmittel angefochten werden, wobei sich der Streitwert nach den Begehren bestimmt, die vor der Vorinstanz streitig geblieben sind ( BGE 137 III 47 E. 1.2.2 S. 48). In der Hauptsache geht es um eine Schuldbetreibungssache ( Art. 72 Abs. 2 lit. a BGG ). Da der Streitwert den gesetzlichen Mindestbetrag von Fr. 30'000.-- nicht erreicht und der Beschwerdeführer zwar eine Rechtsfrage von grundsätzlicher Bedeutung behauptet, indes dazu keine Begründung vorlegt ( Art. 74 BGG ; BGE 136 II 489 E. 2.6 S. 493 f.), kann auf die Beschwerde in Zivilsachen nicht eingetreten werden.</w:t>
      </w:r>
    </w:p>
    <w:p>
      <w:r>
        <w:rPr>
          <w:b/>
        </w:rPr>
        <w:t>E. 1.2</w:t>
      </w:r>
    </w:p>
    <w:p>
      <w:r>
        <w:t>Hingegen ist die Eingabe, wie eventuell beantragt, als subsidiäre Verfassungsbeschwerde entgegenzunehmen ( Art. 113 ff. BGG ). In einer subsidiären Verfassungsbeschwerde kann nur die Verletzung verfassungsmässiger Rechte gerügt werden ( Art. 116 BGG ). Verfassungsrügen müssen gemäss dem strengen Rügeprinzip präzise vorgebracht und begründet werden (Art. 117 i.V.m. Art. 106 Abs. 2 BGG ).</w:t>
      </w:r>
    </w:p>
    <w:p>
      <w:r>
        <w:t>Vorliegend beruft sich der Beschwerdeführer auf eine Verletzung des Willkürverbots von Art. 9 BV .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 Dabei greift das Bundesgericht in Ermessensentscheide, zu denen namentlich Entscheide über die Höhe der Gerichtsgebühr gehören, nur mit grösster Zurückhaltung ein ( BGE 139 III 334 E. 3.2.5 S. 339).</w:t>
      </w:r>
    </w:p>
    <w:p>
      <w:r>
        <w:rPr>
          <w:b/>
        </w:rPr>
        <w:t>E. 2</w:t>
      </w:r>
    </w:p>
    <w:p>
      <w:r>
        <w:t>Der Beschwerdeführer hält zunächst dafür, die Vorinstanz habe es in Verletzung von Art. 97 ZPO willkürlich unterlassen, ihn über die mutmassliche Höhe der Gerichtskosten aufzuklären, weshalb diese Kosten gemäss Art. 107 Abs. 2 ZPO willkürfrei nur dem Kanton auferlegt werden könnten. Derlei pauschale Kritik genügt den Anforderungen an die Begründung einer Willkürrüge indes nicht, zumal dem Beschwerdeführer nach der Abweisung seines Gesuchs um unentgeltliche Prozessführung durch die Vorinstanz zunächst eine Frist und anschliessend eine Nachfrist zur Leistung des Kostenvorschusses in der Höhe von Fr. 450.-- angesetzt worden ist. Darauf ist nicht einzutreten.</w:t>
      </w:r>
    </w:p>
    <w:p>
      <w:r>
        <w:rPr>
          <w:b/>
        </w:rPr>
        <w:t>E. 3</w:t>
      </w:r>
    </w:p>
    <w:p>
      <w:r>
        <w:t>Sodann wendet sich der Beschwerdeführer gegen die Höhe der ihm von der Vorinstanz auferlegten Gerichtsgebühr. Der Beschwerdeführer ist der Auffassung, es hätten ihm wegen bloss geringen Aufwands für das vorinstanzliche Beschwerdeverfahren willkürfrei Kosten von höchstens Fr. 75.-- auferlegt werden dürfen.</w:t>
      </w:r>
    </w:p>
    <w:p>
      <w:r>
        <w:rPr>
          <w:b/>
        </w:rPr>
        <w:t>E. 3.1</w:t>
      </w:r>
    </w:p>
    <w:p>
      <w:r>
        <w:t>Die Höhe der Gebühr bestimmt sich nach den vom Kantonsgericht angewandten Art. 48 und Art. 61 Abs. 1 der Gebührenverordnung vom 23. September 1996 zum Bundesgesetz über Schuldbetreibung und Konkurs (GebV SchKG; SR 281.35). Art. 48 GebV SchKG sieht bei einem Streitwert von Fr. 1'000.-- bis Fr. 10'000.-- für das erstinstanzliche Rechtsöffnungsverfahren eine Spruchgebühr von Fr. 50.-- bis Fr. 300.-- vor. Gemäss Art. 61 Abs. 1 GebV SchKG kann das obere Gericht, an das eine betreibungsrechtliche Summarsache ( Art. 251 ZPO ) weitergezogen wird, für seinen Entscheid eine Gebühr erheben, die höchstens das Anderthalbfache der für die Vorinstanz zulässigen Gebühr beträgt. Dass das Kantonsgericht mit der im angefochtenen Entscheid festgesetzten Gerichtsgebühr von Fr. 450.-- den Rahmen von Art. 48 i.V.m. Art. 61 Abs. 1 GebV SchKG nicht verlassen hat, ist vorliegend zu Recht unbestritten. Der Beschwerdeführer führt jedoch unter Hinweis auf die Erwägung 3.2.5 von BGE 139 III 334 aus, das Kantonsgericht sei in Willkür verfallen, weil es für einen Nichteintretensentscheid zufolge Nichtleistung des Kostenvorschusses eine Gerichtsgebühr am obersten Ende des Tarifs verlangt habe. Die Vorinstanz übersehe willkürlich, dass sie sich in ihrem Rechtsmittelentscheid praktisch ausschliesslich mit den Gesuchen um unentgeltliche Rechtspflege befasst habe, welche von Gesetzes wegen grundsätzlich kostenlos zu behandeln seien.</w:t>
      </w:r>
    </w:p>
    <w:p>
      <w:r>
        <w:rPr>
          <w:b/>
        </w:rPr>
        <w:t>E. 3.2</w:t>
      </w:r>
    </w:p>
    <w:p>
      <w:r>
        <w:t>Dem ist zu entgegnen, dass der vorliegende Fall mit dem vom Beschwerdeführer herangezogenen, in welchem eine gestützt auf den Zürcher Tarif festgesetzte Gerichtsgebühr von Fr. 12'000.-- zu beurteilen war, bereits aufgrund der Höhe der zur Debatte stehenden Gerichtsgebühr nicht ohne Weiteres vergleichbar ist. Ausserdem kann dem Beschwerdeführer nicht beigepflichtet werden, wenn er geltend macht, die Vorinstanz habe vorliegend den denkbar geringsten Zeitaufwand gehabt, könnte davon doch nur dann gesprochen werden, wenn die rechtsuchende Partei einen Kostenvorschuss auch innert der in Art. 101 Abs. 3 ZPO gesetzlich vorgesehenen Nachfrist nicht bezahlt, ohne dass es zwischenzeitlich zu weiteren Verfahrensschritten gekommen wäre. Vorliegend hat der Beschwerdeführer am 4. Februar 2019 in seiner (ohne Berücksichtigung der nachfolgenden "Eingabe im Laufe des Verfahrens") 48-seitigen Beschwerdeschrift auch diverse Verfahrensanträge gestellt. Mit Verfügung vom 5. Februar 2019 hat die Vorinstanz daraufhin das Bezirksgericht um Zustellung der Akten gebeten sowie den Gläubiger eingeladen, innert einer Frist von 10 Tagen zur Beschwerde, zum Gesuch um aufschiebende Wirkung sowie zum Sistierungsgesuch Stellung zu beziehen. Die Stellungnahme des Gläubigers ging am 14. Februar 2019 ein und wurde dem Beschwerdeführer übermittelt, worauf dieser um Ansetzung einer Frist zur Replik ersuchte und anschliessend eine solche einreichte. Schliesslich hat sich die Vorinstanz im angefochtenen Entscheid mit der (von ihr verneinten) Frage befasst, ob dem Beschwerdeführer nach dem Nichteintreten auf sein Gesuch um Wiedererwägung des Entscheids betreffend die unentgeltliche Rechtspflege eine zusätzliche Frist zur Leistung des Gerichtskostenvorschusses einzuräumen ist. Entgegen der Auffassung des Beschwerdeführers kann die erhobene Gerichtsgebühr von Fr. 450.-- unter den gegebenen Umständen nicht als offensichtlich unhaltbar oder geradezu stossend bezeichnet werden.</w:t>
      </w:r>
    </w:p>
    <w:p>
      <w:r>
        <w:rPr>
          <w:b/>
        </w:rPr>
        <w:t>E. 4</w:t>
      </w:r>
    </w:p>
    <w:p>
      <w:r>
        <w:t>Nicht willkürlich ist schliesslich auch, dass die Vorinstanz dem Beschwerdegegner 1 auch ohne Bezifferung des Entschädigungsantrags für seine Stellungnahme gestützt auf Art. 95 Abs. 3 lit. a ZPO einen Auslagenersatz in der Höhe von Fr. 10.-- zugesprochen hat (vgl. BGE 140 III 444 E. 3.2.2 S. 448).</w:t>
      </w:r>
    </w:p>
    <w:p>
      <w:r>
        <w:rPr>
          <w:b/>
        </w:rPr>
        <w:t>E. 5</w:t>
      </w:r>
    </w:p>
    <w:p>
      <w:r>
        <w:t>Aus den dargelegten Gründen ist der Beschwerde kein Erfolg beschieden. Der Beschwerdeführer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 Dem Beschwerdegegner 1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