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5D_163/2022 vom 7. März 2023</w:t>
      </w:r>
    </w:p>
    <w:p>
      <w:r>
        <w:t>Bundesgericht, 2023-03-07, FR</w:t>
      </w:r>
    </w:p>
    <w:p>
      <w:r>
        <w:rPr>
          <w:b/>
        </w:rPr>
        <w:t xml:space="preserve">Quelle: </w:t>
      </w:r>
      <w:r>
        <w:t>https://mcp.opencaselaw.ch/entscheid/bger_5D_163_2022</w:t>
      </w:r>
    </w:p>
    <w:p>
      <w:r>
        <w:t>FR: TF 5D_163/2022 du 7 mars 2023</w:t>
      </w:r>
    </w:p>
    <w:p>
      <w:r>
        <w:t>IT: TF 5D_163/2022 del 7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5D_163/2022</w:t>
      </w:r>
    </w:p>
    <w:p>
      <w:r>
        <w:t>Arrêt du 7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(C/25119/2021 ACJC/1242/2022).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Genève);</w:t>
      </w:r>
    </w:p>
    <w:p>
      <w:r>
        <w:t>l'ordonnance du 7 novembre 2022 invitant le recourant à effectuer une avance de frais de 1'000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et art. 117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7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