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5D_162/2023 vom 15. September 2023</w:t>
      </w:r>
    </w:p>
    <w:p>
      <w:r>
        <w:t>Bundesgericht, 2023-09-15, DE</w:t>
      </w:r>
    </w:p>
    <w:p>
      <w:r>
        <w:rPr>
          <w:b/>
        </w:rPr>
        <w:t xml:space="preserve">Quelle: </w:t>
      </w:r>
      <w:r>
        <w:t>https://mcp.opencaselaw.ch/entscheid/bger_5D_162_2023</w:t>
      </w:r>
    </w:p>
    <w:p>
      <w:r>
        <w:t>FR: TF 5D_162/2023 du 15 septembre 2023</w:t>
      </w:r>
    </w:p>
    <w:p>
      <w:r>
        <w:t>IT: TF 5D_162/2023 del 15 settembre 2023</w:t>
      </w:r>
    </w:p>
    <w:p>
      <w:pPr>
        <w:pStyle w:val="Heading2"/>
      </w:pPr>
      <w:r>
        <w:t>Erwägungen</w:t>
      </w:r>
    </w:p>
    <w:p>
      <w:r>
        <w:rPr>
          <w:b/>
        </w:rPr>
        <w:t>E. 1</w:t>
      </w:r>
    </w:p>
    <w:p>
      <w:r>
        <w:t>Mit Entscheid vom 21. Juni 2023 erteilte das Bezirksgericht Meilen den Beschwerdegegnern gegenüber dem Beschwerdeführer in der Betreibung Nr. xxx des Betreibungsamtes Meilen-Herrliberg-Erlenbach die definitive Rechtsöffnung für Fr. 5'040.75 nebst Zinsen, Kosten und Entschädigung.</w:t>
      </w:r>
    </w:p>
    <w:p>
      <w:r>
        <w:t>Dagegen erhob der Beschwerdeführer am 27. Juni 2023 Beschwerde. Mit Urteil vom 10. Juli 2023 wies das Obergericht des Kantons Zürich die Beschwerde ab, soweit es darauf eintrat.</w:t>
      </w:r>
    </w:p>
    <w:p>
      <w:r>
        <w:t>Dagegen hat der Beschwerdeführer am 29. August 2023 (Postaufgabe) Beschwerde an das Bundesgericht erhoben. Am 30. August 2023 hat das Bundesgericht dem Beschwerdeführer mitgeteilt, dass es keine Rechtsanwälte vermittelt und es an ihm liegt, einen Rechtsanwalt oder eine Rechtsanwältin mit der Interessenwahrung zu betrauen. Das Bundesgericht hat die Akten beigezogen.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Die Beschwerde ist in der ersten Person Plural verfasst und im Absender wird auch B.________ (offenbar die Ehefrau des Beschwerdeführers) aufgeführt. Sie hat die Beschwerde jedoch nicht unterzeichnet und sie hat weder am obergerichtlichen Verfahren teilgenommen noch ist sie durch das angefochtene Urteil beschwert ( Art. 115 BGG ). Sie wird deshalb nicht als Partei des bundesgerichtlichen Verfahrens geführt.</w:t>
      </w:r>
    </w:p>
    <w:p>
      <w:r>
        <w:t>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Der Beschwerdeführer bittet um Information, sofern er Verfahrensfehler gemacht haben sollte. Soweit er sich auf allfällige Mängel bei der Begründung der Beschwerde bezieht, besteht auf eine entsprechende Information bzw. Gelegenheit zur Verbesserung kein Anspruch.</w:t>
      </w:r>
    </w:p>
    <w:p>
      <w:r>
        <w:rPr>
          <w:b/>
        </w:rPr>
        <w:t>E. 3</w:t>
      </w:r>
    </w:p>
    <w:p>
      <w:r>
        <w:t>Das Obergericht hat dem Beschwerdeführer im Wesentlichen vorgehalten, dass er sich nicht genügend mit dem erstinstanzlichen Entscheid auseinandergesetzt habe (betreffend Schlussrechnung vom 24. Januar 2023, Rechtskraft- und Vollstreckbarkeitsbescheinigungen, Zinsen). Nur in Nebenpunkten hat es die Rügen auch als unbegründet erachtet. Auf Anträge ohne Bezug zum Dispositiv des erstinstanzlichen Entscheids ist das Obergericht nicht eingetreten.</w:t>
      </w:r>
    </w:p>
    <w:p>
      <w:r>
        <w:t>Auf die Erwägungen des Obergerichts geht der Beschwerdeführer nicht ein. Stattdessen schildert er seine Sicht auf den Sachverhalt und die Rechtslage, ohne im Einzelnen aufzuzeigen, inwiefern das Obergericht gegen verfassungsmässige Rechte verstossen haben soll. Die Beschwerde enthält damit offensichtlich keine hinreichende Begründung. Das präsidierende Mitglied der Abteilung tritt auf sie im vereinfachten Verfahren nicht ein (Art. 117 i.V.m.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