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5D_15/2025 vom 18. März 2025</w:t>
      </w:r>
    </w:p>
    <w:p>
      <w:r>
        <w:t>Bundesgericht, 2025-03-18, DE</w:t>
      </w:r>
    </w:p>
    <w:p>
      <w:r>
        <w:rPr>
          <w:b/>
        </w:rPr>
        <w:t xml:space="preserve">Quelle: </w:t>
      </w:r>
      <w:r>
        <w:t>https://mcp.opencaselaw.ch/entscheid/bger_5D_15_2025</w:t>
      </w:r>
    </w:p>
    <w:p>
      <w:r>
        <w:t>FR: TF 5D_15/2025 du 18 mars 2025</w:t>
      </w:r>
    </w:p>
    <w:p>
      <w:r>
        <w:t>IT: TF 5D_15/2025 del 18 marzo 2025</w:t>
      </w:r>
    </w:p>
    <w:p>
      <w:pPr>
        <w:pStyle w:val="Heading2"/>
      </w:pPr>
      <w:r>
        <w:t>Erwägungen</w:t>
      </w:r>
    </w:p>
    <w:p>
      <w:r>
        <w:rPr>
          <w:b/>
        </w:rPr>
        <w:t>E. 1</w:t>
      </w:r>
    </w:p>
    <w:p>
      <w:r>
        <w:t>Mit Eingabe vom 20. November 2023 reichte die Beschwerdeführerin - vertreten durch A.________ (Beschwerdeführer im Verfahren 5D_14/2025) - beim Bezirksgericht Hinwil eine Klage gegen die Beschwerdegegnerin ein. Nach Aufforderung zur Verbesserung reichte die Beschwerdeführerin mit Eingabe vom 11. Juli 2024 eine neue Klage ein. Das Bezirksgericht nahm die Eingabe als Kollokationsklage gegen den Kollokationsplan vom 20. Februar 2014 entgegen. Mit Verfügung vom 22. August 2024 trat das Bezirksgericht auf die Klage nicht ein.</w:t>
      </w:r>
    </w:p>
    <w:p>
      <w:r>
        <w:t>Mit Eingabe vom 30. September 2024 (Poststempel) liess die Beschwerdeführerin durch den in der Zwischenzeit beigezogenen Rechtsanwalt C.________ "Beschwerde" einreichen. Zudem übergab A.________ der Stadtpolizei Winterthur eine von ihm selbst verfasste "Beschwerdeschrift" vom 30. September 2024, die die Polizei dem Obergericht des Kantons Zürich übermittelte. Das Obergericht nahm die Eingaben als Berufung entgegen und wies diese mit Urteil vom 28. Januar 2025 ab, soweit es darauf eintrat.</w:t>
      </w:r>
    </w:p>
    <w:p>
      <w:r>
        <w:t>Dagegen hat die Beschwerdeführerin am 3. März 2025 Beschwerde an das Bundesgericht erhoben. Die Eingabe richtet sich zugleich gegen ein weiteres Urteil des Obergerichts (dazu Verfahren 5D_14/2025).</w:t>
      </w:r>
    </w:p>
    <w:p>
      <w:r>
        <w:rPr>
          <w:b/>
        </w:rPr>
        <w:t>E. 2</w:t>
      </w:r>
    </w:p>
    <w:p>
      <w:r>
        <w:t>A.________ bezeichnet sich als Vertreter der Beschwerdeführerin. Eine Vollmacht liegt bei. A.________ ist in der vorliegenden Angelegenheit allerdings nicht zur Vertretung der Beschwerdeführerin vor Bundesgericht berechtigt ( Art. 40 Abs. 1 BGG ). Weiterungen dazu erübrigen sich jedoch, da die Eingabe nicht nur von A.________, sondern auch von der Beschwerdeführerin unterzeichnet ist.</w:t>
      </w:r>
    </w:p>
    <w:p>
      <w:r>
        <w:rPr>
          <w:b/>
        </w:rPr>
        <w:t>E. 3</w:t>
      </w:r>
    </w:p>
    <w:p>
      <w:r>
        <w:t>Aufgrund des unter Fr. 30'000.-- liegenden Streitwerts ( Art. 74 Abs. 1 lit. b BGG ) und mangels Vorliegens einer Rechtsfrage von grundsätzlicher Bedeutung ( Art. 74 Abs. 2 lit. a BGG ) ist die Eingabe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Die Beschwerdeführerin legt nicht dar, inwiefern das Obergericht verfassungsmässige Rechte verletzt haben soll. Stattdessen wendet sie sich in erster Linie gegen das bezirksgerichtliche Urteil und rügt in weitschweifiger und sich wiederholender Weise Verletzungen der ZPO. Bloss am Rande macht sie überspitzten Formalismus geltend, wobei sich auch dieser Vorwurf gegen das Bezirksgericht richtet.</w:t>
      </w:r>
    </w:p>
    <w:p>
      <w:r>
        <w:t>Die Beschwerde enthält offensichtlich keine hinreichende Begründung. Der Abteilungspräsident tritt auf sie im vereinfachten Verfahren nicht ein (Art. 117 i.V.m. Art. 108 Abs. 1 lit. b BGG ).</w:t>
      </w:r>
    </w:p>
    <w:p>
      <w:r>
        <w:rPr>
          <w:b/>
        </w:rPr>
        <w:t>E. 5</w:t>
      </w:r>
    </w:p>
    <w:p>
      <w:r>
        <w:t>Bei diesem Ausgang des Verfahrens trägt die Beschwerdeführerin die Gerichtskosten ( Art. 66 Abs. 1 BGG ). Das von A.________ gestellte Gesuch um unentgeltliche Rechtspflege (5D_14/2025) bezieht sich offenbar nur auf ihn persönlich.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