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5D_158/2021 vom 8. September 2021</w:t>
      </w:r>
    </w:p>
    <w:p>
      <w:r>
        <w:t>Bundesgericht, 2021-09-08, DE</w:t>
      </w:r>
    </w:p>
    <w:p>
      <w:r>
        <w:rPr>
          <w:b/>
        </w:rPr>
        <w:t xml:space="preserve">Quelle: </w:t>
      </w:r>
      <w:r>
        <w:t>https://mcp.opencaselaw.ch/entscheid/bger_5D_158_2021</w:t>
      </w:r>
    </w:p>
    <w:p>
      <w:r>
        <w:t>FR: TF 5D_158/2021 du 8 septembre 2021</w:t>
      </w:r>
    </w:p>
    <w:p>
      <w:r>
        <w:t>IT: TF 5D_158/2021 del 8 settembre 2021</w:t>
      </w:r>
    </w:p>
    <w:p>
      <w:pPr>
        <w:pStyle w:val="Heading2"/>
      </w:pPr>
      <w:r>
        <w:t>Erwägungen</w:t>
      </w:r>
    </w:p>
    <w:p>
      <w:r>
        <w:rPr>
          <w:b/>
        </w:rPr>
        <w:t>E. 1</w:t>
      </w:r>
    </w:p>
    <w:p>
      <w:r>
        <w:t>Mit Verfügung vom 15. Juli 2021 erteilte das Bezirksgericht Schwyz der Beschwerdegegnerin gegenüber dem Beschwerdeführer in der Betreibung Nr. xxx des Betreibungsamtes Schwyz die definitive Rechtsöffnung für Fr. 18'990.-- nebst Zins.</w:t>
      </w:r>
    </w:p>
    <w:p>
      <w:r>
        <w:t>Dagegen hat der Beschwerdeführer Beschwerde an das Kantonsgericht Schwyz erhoben. Mit Verfügung vom 2. August 2021 hat das Kantonsgericht dem Beschwerdeführer eine Frist bis 19. August 2021 angesetzt zur Bezahlung eines Gerichtskostenvorschusses von Fr. 750.--, wobei es unter Vorbehalt einer Nachfristansetzung angedroht hat, auf das Rechtsmittel im Unterlassungsfall nicht einzutreten.</w:t>
      </w:r>
    </w:p>
    <w:p>
      <w:r>
        <w:t>Gegen diese Verfügung hat der Beschwerdeführer am 2. September 2021 (Postaufgabe) Beschwerde an das Bundesgericht erhoben.</w:t>
      </w:r>
    </w:p>
    <w:p>
      <w:r>
        <w:rPr>
          <w:b/>
        </w:rPr>
        <w:t>E. 2</w:t>
      </w:r>
    </w:p>
    <w:p>
      <w:r>
        <w:t>Bei der Ansetzung einer 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Dazu müsste er aufzeigen, dass er finanziell nicht in der Lage ist, den verlangten Kostenvorschuss zu leisten und ihm der in Betracht fallende Nachteil (Nichteintretensentscheid aufgrund Nichtbezahlung des Kostenvorschusses) in der Folge tatsächlich drohen könnte ( BGE 142 III 798 E. 2 S. 800 ff.).</w:t>
      </w:r>
    </w:p>
    <w:p>
      <w:r>
        <w:t>In der Beschwerdeschrift findet sich folgende Zeile: "Grund: Beantragung von unentgeltlicher Rechtspflege". Die Tragweite dieser Zeile bleibt unklar. Der Beschwerdeführer macht nicht geltend, dass er vom Kantonsgericht die unentgeltliche Rechtspflege gewährt erhalten hätte. Er macht auch nicht geltend, dass das Kantonsgericht ein Gesuch um unentgeltliche Rechtspflege zu Unrecht abgewiesen hätte oder dass er vor Kantonsgericht ein solches Gesuch gestellt, das Kantonsgericht das Gesuch aber übergangen hätte. Der Beschwerdeführer kann auch nicht vor Bundesgericht erstmals um unentgeltliche Rechtspflege für das Verfahren vor dem Kantonsgericht ersuchen. Ein solches Gesuch ist vielmehr an das Kantonsgericht zu richten. Schliesslich legt er auch seine finanziellen Verhältnisse nicht dar. Insgesamt zeigt er somit nicht auf, dass er finanziell nicht in der Lage wäre, den Kostenvorschuss zu leisten. Im Übrigen macht er geltend, das Recht sei unrichtig angewendet worden, der Sachverhalt sei offensichtlich unrichtig festgestellt worden, der Termin für den Kostenvorschuss sei neu anzusetzen und er habe der Beschwerdegegnerin einen Vorschlag für einen Abzahlungsvertrag gemacht. All dies begründet keine Gefahr eines nicht wieder gutzumachenden Nachteils im Sinne von Art. 93 Abs. 1 lit. a BGG .</w:t>
      </w:r>
    </w:p>
    <w:p>
      <w:r>
        <w:t>Die Beschwerde ist damit offensichtlich unzulässig. Auf sie ist im vereinfachten Verfahren durch das präsidierende Mitglied der Abteilung nicht einzutreten (Art. 117 i.V.m. Art. 108 Abs. 1 lit. a BGG ).</w:t>
      </w:r>
    </w:p>
    <w:p>
      <w:r>
        <w:rPr>
          <w:b/>
        </w:rPr>
        <w:t>E. 3</w:t>
      </w:r>
    </w:p>
    <w:p>
      <w:r>
        <w:t>Es rechtfertigt sich ausnahmsweise, auf die Erhebung von Gerichtskosten zu verzichten ( Art. 66 Abs. 1 BGG ). Das sinngemässe Gesuch um unentgeltliche Rechtspflege für das bundesgerichtliche Verfahren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