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5D_158/2016 vom 11. Oktober 2016</w:t>
      </w:r>
    </w:p>
    <w:p>
      <w:r>
        <w:t>Bundesgericht, 2016-10-11, DE</w:t>
      </w:r>
    </w:p>
    <w:p>
      <w:r>
        <w:rPr>
          <w:b/>
        </w:rPr>
        <w:t xml:space="preserve">Quelle: </w:t>
      </w:r>
      <w:r>
        <w:t>https://mcp.opencaselaw.ch/entscheid/bger_5D_158_2016</w:t>
      </w:r>
    </w:p>
    <w:p>
      <w:r>
        <w:t>FR: TF 5D_158/2016 du 11 octobre 2016</w:t>
      </w:r>
    </w:p>
    <w:p>
      <w:r>
        <w:t>IT: TF 5D_158/2016 del 11 ottobre 2016</w:t>
      </w:r>
    </w:p>
    <w:p>
      <w:pPr>
        <w:pStyle w:val="Heading2"/>
      </w:pPr>
      <w:r>
        <w:t>Erwägungen</w:t>
      </w:r>
    </w:p>
    <w:p>
      <w:r>
        <w:rPr>
          <w:b/>
        </w:rPr>
        <w:t>E. 1.1</w:t>
      </w:r>
    </w:p>
    <w:p>
      <w:r>
        <w:t>Die A.________ GmbH erhob mit Eingabe vom 18. August 2016 beim Obergericht des Kantons Bern Beschwerde gegen den Entscheid des Regionalgerichts Bern-Mittelland vom 2. August 2016 betreffend definitive Rechtsöffnung. Der Instruktionsrichter setzte der A.________ GmbH eine Frist zur Leistung eines Kostenvorschusses (Verfügung vom 29. August 2016) und nach unbenutztem Ablauf dieser Frist mit Verfügung vom 13. September 2016 eine Nachfrist zur Leistung des Vorschusses unter Androhung der Säumnisfolgen.</w:t>
      </w:r>
    </w:p>
    <w:p>
      <w:r>
        <w:rPr>
          <w:b/>
        </w:rPr>
        <w:t>E. 1.2</w:t>
      </w:r>
    </w:p>
    <w:p>
      <w:r>
        <w:t>Mit Verfügung vom 13. September 2016 wurde im Übrigen das Sistierungsgesuch der A.________ GmbH vom 30. August 2016 abgewiesen. Auf die dagegen erhobene Verfassungsbeschwerde der A.________ GmbH trat das Bundesgericht mit Urteil vom 20. September 2016 nicht ein (5D_145/2016).</w:t>
      </w:r>
    </w:p>
    <w:p>
      <w:r>
        <w:rPr>
          <w:b/>
        </w:rPr>
        <w:t>E. 1.3</w:t>
      </w:r>
    </w:p>
    <w:p>
      <w:r>
        <w:t>Mit Entscheid vom 4. Oktober 2016 trat die stellvertretende Instruktionsrichterin des Obergerichts auf die Beschwerde nicht ein.</w:t>
      </w:r>
    </w:p>
    <w:p>
      <w:r>
        <w:rPr>
          <w:b/>
        </w:rPr>
        <w:t>E. 1.4</w:t>
      </w:r>
    </w:p>
    <w:p>
      <w:r>
        <w:t>Gegen diesen Entscheid hat die A.________ GmbH am 10. Oktober 2016 beim Bundesgericht Beschwerde erhoben. Sie verlangt im Wesentlichen die Aufhebung des angefochtenen Entscheides und die Rückweisung der Sache zur Neubeurteilung. Es sind keine Vernehmlassungen eingeholt worden.</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Die stellvertretende Instruktionsrichterin hat erwogen, da die Nachfrist zur Leistung des Kostenvorschusses unbenutzt abgelaufen sei, sei auf die Beschwerde nicht einzutreten.</w:t>
      </w:r>
    </w:p>
    <w:p>
      <w:r>
        <w:rPr>
          <w:b/>
        </w:rPr>
        <w:t>E. 2.3</w:t>
      </w:r>
    </w:p>
    <w:p>
      <w:r>
        <w:t>Die Beschwerdeführerin geht in ihrer Eingabe nicht auf die den Entscheid tragende Erwägung ein und zeigt nicht anhand dieser Erwägung auf, inwiefern die Vorinstanz den Sachverhalt willkürlich festgestellt, Bundesrecht willkürlich angewendet oder ihre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