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157/2023 vom 24. August 2023</w:t>
      </w:r>
    </w:p>
    <w:p>
      <w:r>
        <w:t>Bundesgericht, 2023-08-24, DE</w:t>
      </w:r>
    </w:p>
    <w:p>
      <w:r>
        <w:rPr>
          <w:b/>
        </w:rPr>
        <w:t xml:space="preserve">Quelle: </w:t>
      </w:r>
      <w:r>
        <w:t>https://mcp.opencaselaw.ch/entscheid/bger_5D_157_2023</w:t>
      </w:r>
    </w:p>
    <w:p>
      <w:r>
        <w:t>FR: TF 5D 157/2023 du 24 août 2023</w:t>
      </w:r>
    </w:p>
    <w:p>
      <w:r>
        <w:t>IT: TF 5D 157/2023 del 24 agosto 2023</w:t>
      </w:r>
    </w:p>
    <w:p>
      <w:pPr>
        <w:pStyle w:val="Heading2"/>
      </w:pPr>
      <w:r>
        <w:t>Regeste</w:t>
      </w:r>
    </w:p>
    <w:p>
      <w:r>
        <w:t>Definitive Rechtsöffnung | Schuldbetreibungs- und Konkursrecht</w:t>
      </w:r>
    </w:p>
    <w:p>
      <w:pPr>
        <w:pStyle w:val="Heading2"/>
      </w:pPr>
      <w:r>
        <w:t>Erwägungen</w:t>
      </w:r>
    </w:p>
    <w:p>
      <w:r>
        <w:rPr>
          <w:b/>
        </w:rPr>
        <w:t>E. 1</w:t>
      </w:r>
    </w:p>
    <w:p>
      <w:r>
        <w:t>Der Streitwert erreicht die für die Beschwerde in Zivilsachen erforderliche Mindestssumme von Fr. 30'000.-- ( Art. 74 Abs. 1 lit. b BGG ) nicht, weshalb nur die subsidiäre Verfassungsbeschwerde zur Verfügung steht ( Art. 113 BGG ). Mit dieser kann einzig die Verletzung verfassungsmässiger Rechte gerügt werden ( Art. 116 BGG ), wofür das strenge Rügeprinzip gilt (Art. 106 Abs. 2 i.V.m. Art. 117 BGG ). Im Übrigen hat die Beschwerde ein Rechtsbegehren zu enthalten ( Art. 42 Abs. 1 BGG ).</w:t>
      </w:r>
    </w:p>
    <w:p>
      <w:r>
        <w:rPr>
          <w:b/>
        </w:rPr>
        <w:t>E. 2</w:t>
      </w:r>
    </w:p>
    <w:p>
      <w:r>
        <w:t>Der Beschwerdeführer stellt kein Begehren. Im Übrigen erfolgen keine substanziierten Verfassungsrügen. Die Beschwerde besteht vielmehr aus einer Collage von Aussagen und Gesetzeszitaten, ohne dass ein konkreter Bezug auf den angefochtenen Rechtsöffnungsentscheid und dessen Erwägungen ersichtlich wäre.</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 Demnach erkennt das präsidierende Mitglied: 1. Auf die Beschwerde wird nicht eingetreten. 2. Das Gesuch um unentgeltliche Rechtspflege wird abgewiesen. 3. Die Gerichtskosten von Fr. 2'000.-- werden dem Beschwerdeführer auferlegt. 4. Dieses Urteil wird den Parteien und dem Obergericht des Kantons Zürich, I. Zivilkammer, mitgeteilt. Lausanne, 24. August 2023 Im Namen der II. zivilrechtlichen Abteilung des Schweizerischen Bundesgerichts Das präsidierende Mitglied: Escher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