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156/2022 vom 31. Oktober 2022</w:t>
      </w:r>
    </w:p>
    <w:p>
      <w:r>
        <w:t>Bundesgericht, 2022-10-31, DE</w:t>
      </w:r>
    </w:p>
    <w:p>
      <w:r>
        <w:rPr>
          <w:b/>
        </w:rPr>
        <w:t xml:space="preserve">Quelle: </w:t>
      </w:r>
      <w:r>
        <w:t>https://mcp.opencaselaw.ch/entscheid/bger_5D_156_2022</w:t>
      </w:r>
    </w:p>
    <w:p>
      <w:r>
        <w:t>FR: TF 5D 156/2022 du 31 octobre 2022</w:t>
      </w:r>
    </w:p>
    <w:p>
      <w:r>
        <w:t>IT: TF 5D 156/2022 del 31 ottobre 2022</w:t>
      </w:r>
    </w:p>
    <w:p>
      <w:pPr>
        <w:pStyle w:val="Heading2"/>
      </w:pPr>
      <w:r>
        <w:t>Regeste</w:t>
      </w:r>
    </w:p>
    <w:p>
      <w:r>
        <w:t>Kostenvorschuss (Rechtsöffnung) | Schuldbetreibungs- und Konkursrecht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Eingabe ist entgegen der Vorschrift von Art. 42 Abs. 1 BGG nicht unterzeichnet. Eine auf Art. 42 Abs. 5 BGG gestützte Rückweisung zur Verbesserung ist indes entbehrlich, weil es der Eingabe sowohl an einem Rechtsbegehren ( Art. 42 Abs. 1 BGG ) als auch an einer ansatzweise nachvollziehbaren Begründung ( Art. 42 Abs. 2 BGG ) mangelt. Es ist nicht einmal klar ersichtlich, ob die Eingabe überhaupt vom Willen getragen ist, ein Rechtsmittel einzureichen.</w:t>
      </w:r>
    </w:p>
    <w:p>
      <w:r>
        <w:rPr>
          <w:b/>
        </w:rPr>
        <w:t>E. 2</w:t>
      </w:r>
    </w:p>
    <w:p>
      <w:r>
        <w:t>Nach dem Gesagten ist auf die Beschwerde im vereinfachten Verfahren nach Art. 108 Abs. 1 lit. b BGG nicht einzutreten.</w:t>
      </w:r>
    </w:p>
    <w:p>
      <w:r>
        <w:rPr>
          <w:b/>
        </w:rPr>
        <w:t>E. 3</w:t>
      </w:r>
    </w:p>
    <w:p>
      <w:r>
        <w:t>Dieses Urteil wird den Parteien und dem Obergericht des Kantons Thurgau mitgeteilt. Lausanne, 31. Oktober 2022 Im Namen der II. zivilrechtlichen Abteilung des Schweizerischen Bundesgerichts Das präsidierende Mitglied: Escher Der Gerichtsschreiber: 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